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CDS Training Exercise Manual</w:t>
      </w:r>
    </w:p>
    <w:p>
      <w:r>
        <w:t>Release edition 18 September 2026</w:t>
      </w:r>
    </w:p>
    <w:p>
      <w:r>
        <w:t>This manual collects the CDS learning pages and all 94 published exercise setups. Each exercise identifies its task, connected models, data transfers, checkpoints and limitations. Work through the setup before changing inputs, and use the stated reference or validation scope to decide what the result demonstrates. Numerical teaching data should not be substituted for qualified design allowables.</w:t>
      </w:r>
    </w:p>
    <w:p>
      <w:pPr>
        <w:pStyle w:val="Heading2"/>
      </w:pPr>
      <w:r>
        <w:t>How to use this manual</w:t>
      </w:r>
    </w:p>
    <w:p>
      <w:r>
        <w:t>Read the assumptions before choosing a model. Keep units consistent, inspect solver notices and use the recorded checks to distinguish a completed calculation from a validated result. Chapter links lead to the interactive website; exercise links open the Workbench. Account-controlled database downloads and classroom materials remain subject to their existing access rules.</w:t>
      </w:r>
    </w:p>
    <w:p>
      <w:r>
        <w:t>Equations are editable Word mathematics. This PDF is exported from the same Word document. Historical reference chapters retain their stated scope; the current workflow and exercise chapters describe the available CDS implementation.</w:t>
      </w:r>
    </w:p>
    <w:p>
      <w:r>
        <w:br w:type="page"/>
      </w:r>
    </w:p>
    <w:p>
      <w:pPr>
        <w:pStyle w:val="Heading1"/>
      </w:pPr>
      <w:r>
        <w:t>Contents</w:t>
      </w:r>
    </w:p>
    <w:p>
      <w:hyperlink w:anchor="chapter_1">
        <w:r>
          <w:t>1  Work through published composite cases.</w:t>
        </w:r>
      </w:hyperlink>
    </w:p>
    <w:p>
      <w:hyperlink w:anchor="chapter_2">
        <w:r>
          <w:t>2  Predict T700/PR520 effective lamina properties.</w:t>
        </w:r>
      </w:hyperlink>
    </w:p>
    <w:p>
      <w:hyperlink w:anchor="chapter_3">
        <w:r>
          <w:t>3  Design a balanced T700/epoxy tube laminate.</w:t>
        </w:r>
      </w:hyperlink>
    </w:p>
    <w:p>
      <w:hyperlink w:anchor="chapter_4">
        <w:r>
          <w:t>4  Resolve a thick-panel cure cycle and exotherm.</w:t>
        </w:r>
      </w:hyperlink>
    </w:p>
    <w:p>
      <w:hyperlink w:anchor="chapter_5">
        <w:r>
          <w:t>5  Screen a pressurized AS4/3501-6 cylinder.</w:t>
        </w:r>
      </w:hyperlink>
    </w:p>
    <w:p>
      <w:hyperlink w:anchor="chapter_6">
        <w:r>
          <w:t>6  Published cases. Solver-visible results.</w:t>
        </w:r>
      </w:hyperlink>
    </w:p>
    <w:p>
      <w:hyperlink w:anchor="chapter_7">
        <w:r>
          <w:t>7  Analyses . Solver-visible results.</w:t>
        </w:r>
      </w:hyperlink>
    </w:p>
    <w:p>
      <w:hyperlink w:anchor="chapter_8">
        <w:r>
          <w:t>8  Laminates . Solver-visible results.</w:t>
        </w:r>
      </w:hyperlink>
    </w:p>
    <w:p>
      <w:hyperlink w:anchor="chapter_9">
        <w:r>
          <w:t>9  Micromechanics . Solver-visible results.</w:t>
        </w:r>
      </w:hyperlink>
    </w:p>
    <w:p>
      <w:hyperlink w:anchor="chapter_10">
        <w:r>
          <w:t>10  Open. Inspect. Run and adapt.</w:t>
        </w:r>
      </w:hyperlink>
    </w:p>
    <w:p>
      <w:hyperlink w:anchor="chapter_11">
        <w:r>
          <w:t>11  CDS Training Manual learn by completing a study.</w:t>
        </w:r>
      </w:hyperlink>
    </w:p>
    <w:p>
      <w:hyperlink w:anchor="chapter_12">
        <w:r>
          <w:t>12  Rule of mixtures: fibre volume fraction</w:t>
        </w:r>
      </w:hyperlink>
    </w:p>
    <w:p>
      <w:hyperlink w:anchor="chapter_13">
        <w:r>
          <w:t>13  Compare transverse micromechanics models</w:t>
        </w:r>
      </w:hyperlink>
    </w:p>
    <w:p>
      <w:hyperlink w:anchor="chapter_14">
        <w:r>
          <w:t>14  Short fibers: aspect ratio and shear-lag transfer</w:t>
        </w:r>
      </w:hyperlink>
    </w:p>
    <w:p>
      <w:hyperlink w:anchor="chapter_15">
        <w:r>
          <w:t>15  01 · Rule of mixtures · continuous fibers</w:t>
        </w:r>
      </w:hyperlink>
    </w:p>
    <w:p>
      <w:hyperlink w:anchor="chapter_16">
        <w:r>
          <w:t>16  FSDT plate bending: thin-to-thick comparison</w:t>
        </w:r>
      </w:hyperlink>
    </w:p>
    <w:p>
      <w:hyperlink w:anchor="chapter_17">
        <w:r>
          <w:t>17  Micro optimization: stiffness, voids and density</w:t>
        </w:r>
      </w:hyperlink>
    </w:p>
    <w:p>
      <w:hyperlink w:anchor="chapter_18">
        <w:r>
          <w:t>18  02 · Halpin–Tsai · transverse stiffness</w:t>
        </w:r>
      </w:hyperlink>
    </w:p>
    <w:p>
      <w:hyperlink w:anchor="chapter_19">
        <w:r>
          <w:t>19  FSDT cross-ply plate: buckling and natural frequencies</w:t>
        </w:r>
      </w:hyperlink>
    </w:p>
    <w:p>
      <w:hyperlink w:anchor="chapter_20">
        <w:r>
          <w:t>20  Laminate optimization: minimum mass under axial loading</w:t>
        </w:r>
      </w:hyperlink>
    </w:p>
    <w:p>
      <w:hyperlink w:anchor="chapter_21">
        <w:r>
          <w:t>21  03 · Short fibers · shear-lag transfer</w:t>
        </w:r>
      </w:hyperlink>
    </w:p>
    <w:p>
      <w:hyperlink w:anchor="chapter_22">
        <w:r>
          <w:t>22  FSDT soft-core plate: shear-dominated bending</w:t>
        </w:r>
      </w:hyperlink>
    </w:p>
    <w:p>
      <w:hyperlink w:anchor="chapter_23">
        <w:r>
          <w:t>23  Process optimization: cycle time and thermal uniformity</w:t>
        </w:r>
      </w:hyperlink>
    </w:p>
    <w:p>
      <w:hyperlink w:anchor="chapter_24">
        <w:r>
          <w:t>24  04 · Hybrid fibers · orientation distribution</w:t>
        </w:r>
      </w:hyperlink>
    </w:p>
    <w:p>
      <w:hyperlink w:anchor="chapter_25">
        <w:r>
          <w:t>25  Sandwich FSDT: clamped panel bending</w:t>
        </w:r>
      </w:hyperlink>
    </w:p>
    <w:p>
      <w:hyperlink w:anchor="chapter_26">
        <w:r>
          <w:t>26  NASA · T700/PR520 lamina analysis</w:t>
        </w:r>
      </w:hyperlink>
    </w:p>
    <w:p>
      <w:hyperlink w:anchor="chapter_27">
        <w:r>
          <w:t>27  T700S / 180C Epoxy UD · stored-ply elasticity</w:t>
        </w:r>
      </w:hyperlink>
    </w:p>
    <w:p>
      <w:hyperlink w:anchor="chapter_28">
        <w:r>
          <w:t>28  IM7 / Toughened Epoxy UD · stored-ply elasticity</w:t>
        </w:r>
      </w:hyperlink>
    </w:p>
    <w:p>
      <w:hyperlink w:anchor="chapter_29">
        <w:r>
          <w:t>29  T800S / BMI UD · stored-ply elasticity</w:t>
        </w:r>
      </w:hyperlink>
    </w:p>
    <w:p>
      <w:hyperlink w:anchor="chapter_30">
        <w:r>
          <w:t>30  AS4 / PEEK UD · stored-ply elasticity</w:t>
        </w:r>
      </w:hyperlink>
    </w:p>
    <w:p>
      <w:hyperlink w:anchor="chapter_31">
        <w:r>
          <w:t>31  T300 / EPON 862 Epoxy UD Prepreg · stored-ply elasticity</w:t>
        </w:r>
      </w:hyperlink>
    </w:p>
    <w:p>
      <w:hyperlink w:anchor="chapter_32">
        <w:r>
          <w:t>32  T800S / 977-3-Type Epoxy UD Prepreg · stored-ply elasticity</w:t>
        </w:r>
      </w:hyperlink>
    </w:p>
    <w:p>
      <w:hyperlink w:anchor="chapter_33">
        <w:r>
          <w:t>33  AS4 / LY 1564-Type Epoxy UD Prepreg · stored-ply elasticity</w:t>
        </w:r>
      </w:hyperlink>
    </w:p>
    <w:p>
      <w:hyperlink w:anchor="chapter_34">
        <w:r>
          <w:t>34  T300 / Phenolic Plain Weave · stored-ply elasticity</w:t>
        </w:r>
      </w:hyperlink>
    </w:p>
    <w:p>
      <w:hyperlink w:anchor="chapter_35">
        <w:r>
          <w:t>35  Laminate orientation and tensile response</w:t>
        </w:r>
      </w:hyperlink>
    </w:p>
    <w:p>
      <w:hyperlink w:anchor="chapter_36">
        <w:r>
          <w:t>36  ±45° coupon: in-plane shear</w:t>
        </w:r>
      </w:hyperlink>
    </w:p>
    <w:p>
      <w:hyperlink w:anchor="chapter_37">
        <w:r>
          <w:t>37  Three-point bending: span and stiffness</w:t>
        </w:r>
      </w:hyperlink>
    </w:p>
    <w:p>
      <w:hyperlink w:anchor="chapter_38">
        <w:r>
          <w:t>38  Thin-wall pressure vessel</w:t>
        </w:r>
      </w:hyperlink>
    </w:p>
    <w:p>
      <w:hyperlink w:anchor="chapter_39">
        <w:r>
          <w:t>39  05 · Tensile coupon · laminate orientation</w:t>
        </w:r>
      </w:hyperlink>
    </w:p>
    <w:p>
      <w:hyperlink w:anchor="chapter_40">
        <w:r>
          <w:t>40  Sandwich FSDT: biaxial compression buckling</w:t>
        </w:r>
      </w:hyperlink>
    </w:p>
    <w:p>
      <w:hyperlink w:anchor="chapter_41">
        <w:r>
          <w:t>41  06 · ±45° laminate · in-plane shear</w:t>
        </w:r>
      </w:hyperlink>
    </w:p>
    <w:p>
      <w:hyperlink w:anchor="chapter_42">
        <w:r>
          <w:t>42  Sandwich FSDT: directional-core natural frequencies</w:t>
        </w:r>
      </w:hyperlink>
    </w:p>
    <w:p>
      <w:hyperlink w:anchor="chapter_43">
        <w:r>
          <w:t>43  07 · Stored lamina material · bypass Micro</w:t>
        </w:r>
      </w:hyperlink>
    </w:p>
    <w:p>
      <w:hyperlink w:anchor="chapter_44">
        <w:r>
          <w:t>44  08 · Mixed stored/solved plies · unequal thickness</w:t>
        </w:r>
      </w:hyperlink>
    </w:p>
    <w:p>
      <w:hyperlink w:anchor="chapter_45">
        <w:r>
          <w:t>45  09 · Three-point bend · deflection</w:t>
        </w:r>
      </w:hyperlink>
    </w:p>
    <w:p>
      <w:hyperlink w:anchor="chapter_46">
        <w:r>
          <w:t>46  10 · Cylinder · internal pressure</w:t>
        </w:r>
      </w:hyperlink>
    </w:p>
    <w:p>
      <w:hyperlink w:anchor="chapter_47">
        <w:r>
          <w:t>47  11 · Lap joint · two adherends and adhesive</w:t>
        </w:r>
      </w:hyperlink>
    </w:p>
    <w:p>
      <w:hyperlink w:anchor="chapter_48">
        <w:r>
          <w:t>48  12 · Sandwich bend · skins, core and bond screening</w:t>
        </w:r>
      </w:hyperlink>
    </w:p>
    <w:p>
      <w:hyperlink w:anchor="chapter_49">
        <w:r>
          <w:t>49  Hybrid short fibers: orientation and volume balance</w:t>
        </w:r>
      </w:hyperlink>
    </w:p>
    <w:p>
      <w:hyperlink w:anchor="chapter_50">
        <w:r>
          <w:t>50  T700/Epoxy Quasi-Isotropic · stored-data layup</w:t>
        </w:r>
      </w:hyperlink>
    </w:p>
    <w:p>
      <w:hyperlink w:anchor="chapter_51">
        <w:r>
          <w:t>51  IM7/Toughened Epoxy Bending-Optimized · stored-data layup</w:t>
        </w:r>
      </w:hyperlink>
    </w:p>
    <w:p>
      <w:hyperlink w:anchor="chapter_52">
        <w:r>
          <w:t>52  T800/BMI Balanced Cylinder · stored-data layup</w:t>
        </w:r>
      </w:hyperlink>
    </w:p>
    <w:p>
      <w:hyperlink w:anchor="chapter_53">
        <w:r>
          <w:t>53  AS4/PEEK Quasi-Isotropic · stored-data layup</w:t>
        </w:r>
      </w:hyperlink>
    </w:p>
    <w:p>
      <w:hyperlink w:anchor="chapter_54">
        <w:r>
          <w:t>54  T800/BMI Hoop-Dominant Cylinder · stored-data layup</w:t>
        </w:r>
      </w:hyperlink>
    </w:p>
    <w:p>
      <w:hyperlink w:anchor="chapter_55">
        <w:r>
          <w:t>55  T700/Epoxy Cross-Ply · stored-data layup</w:t>
        </w:r>
      </w:hyperlink>
    </w:p>
    <w:p>
      <w:hyperlink w:anchor="chapter_56">
        <w:r>
          <w:t>56  T700/Epoxy Balanced Angle-Ply · stored-data layup</w:t>
        </w:r>
      </w:hyperlink>
    </w:p>
    <w:p>
      <w:hyperlink w:anchor="chapter_57">
        <w:r>
          <w:t>57  IM7/Toughened Epoxy Unidirectional · stored-data layup</w:t>
        </w:r>
      </w:hyperlink>
    </w:p>
    <w:p>
      <w:hyperlink w:anchor="chapter_58">
        <w:r>
          <w:t>58  AS4/PEEK Cross-Ply · stored-data layup</w:t>
        </w:r>
      </w:hyperlink>
    </w:p>
    <w:p>
      <w:hyperlink w:anchor="chapter_59">
        <w:r>
          <w:t>59  T300/Phenolic Woven Symmetric · stored-data layup</w:t>
        </w:r>
      </w:hyperlink>
    </w:p>
    <w:p>
      <w:hyperlink w:anchor="chapter_60">
        <w:r>
          <w:t>60  T300/EPON 862 Quasi-Isotropic · stored-data layup</w:t>
        </w:r>
      </w:hyperlink>
    </w:p>
    <w:p>
      <w:hyperlink w:anchor="chapter_61">
        <w:r>
          <w:t>61  T800/977-3 Quasi-Isotropic · stored-data layup</w:t>
        </w:r>
      </w:hyperlink>
    </w:p>
    <w:p>
      <w:hyperlink w:anchor="chapter_62">
        <w:r>
          <w:t>62  AS4/LY 1564 Quasi-Isotropic · stored-data layup</w:t>
        </w:r>
      </w:hyperlink>
    </w:p>
    <w:p>
      <w:hyperlink w:anchor="chapter_63">
        <w:r>
          <w:t>63  IM7/8552-Type Quasi-Isotropic · stored-data layup</w:t>
        </w:r>
      </w:hyperlink>
    </w:p>
    <w:p>
      <w:hyperlink w:anchor="chapter_64">
        <w:r>
          <w:t>64  Quasi-Isotropic Plate in Uniaxial Tension · resultant response</w:t>
        </w:r>
      </w:hyperlink>
    </w:p>
    <w:p>
      <w:hyperlink w:anchor="chapter_65">
        <w:r>
          <w:t>65  Cross-Ply Plate under Pure Bending · resultant response</w:t>
        </w:r>
      </w:hyperlink>
    </w:p>
    <w:p>
      <w:hyperlink w:anchor="chapter_66">
        <w:r>
          <w:t>66  Angle-Ply Plate under Biaxial Load and Shear · resultant response</w:t>
        </w:r>
      </w:hyperlink>
    </w:p>
    <w:p>
      <w:hyperlink w:anchor="chapter_67">
        <w:r>
          <w:t>67  NASA · Balanced T700/epoxy tube laminate</w:t>
        </w:r>
      </w:hyperlink>
    </w:p>
    <w:p>
      <w:hyperlink w:anchor="chapter_68">
        <w:r>
          <w:t>68  Thermal cycle: surface-to-core lag</w:t>
        </w:r>
      </w:hyperlink>
    </w:p>
    <w:p>
      <w:hyperlink w:anchor="chapter_69">
        <w:r>
          <w:t>69  Pultrusion: heated die and residence time</w:t>
        </w:r>
      </w:hyperlink>
    </w:p>
    <w:p>
      <w:hyperlink w:anchor="chapter_70">
        <w:r>
          <w:t>70  Pultrusion: multi-zone die and pulling speed</w:t>
        </w:r>
      </w:hyperlink>
    </w:p>
    <w:p>
      <w:hyperlink w:anchor="chapter_71">
        <w:r>
          <w:t>71  UV cure: exposure, penetration and exotherm</w:t>
        </w:r>
      </w:hyperlink>
    </w:p>
    <w:p>
      <w:hyperlink w:anchor="chapter_72">
        <w:r>
          <w:t>72  Moisture conditioning and diffusion</w:t>
        </w:r>
      </w:hyperlink>
    </w:p>
    <w:p>
      <w:hyperlink w:anchor="chapter_73">
        <w:r>
          <w:t>73  Bonded joint: two adherends and adhesive</w:t>
        </w:r>
      </w:hyperlink>
    </w:p>
    <w:p>
      <w:hyperlink w:anchor="chapter_74">
        <w:r>
          <w:t>74  NASA · AS4/3501-6 pressure-cylinder screening</w:t>
        </w:r>
      </w:hyperlink>
    </w:p>
    <w:p>
      <w:hyperlink w:anchor="chapter_75">
        <w:r>
          <w:t>75  NASA · Thick T700S/TC380 cure process</w:t>
        </w:r>
      </w:hyperlink>
    </w:p>
    <w:p>
      <w:hyperlink w:anchor="chapter_76">
        <w:r>
          <w:t>76  Coupled cure, thermal, moisture and structural response</w:t>
        </w:r>
      </w:hyperlink>
    </w:p>
    <w:p>
      <w:hyperlink w:anchor="chapter_77">
        <w:r>
          <w:t>77  13 · Thermal cycle · surface/core lag</w:t>
        </w:r>
      </w:hyperlink>
    </w:p>
    <w:p>
      <w:hyperlink w:anchor="chapter_78">
        <w:r>
          <w:t>78  14 · Moisture conditioning · diffusion</w:t>
        </w:r>
      </w:hyperlink>
    </w:p>
    <w:p>
      <w:hyperlink w:anchor="chapter_79">
        <w:r>
          <w:t>79  15 · Pultrusion · multi-zone die</w:t>
        </w:r>
      </w:hyperlink>
    </w:p>
    <w:p>
      <w:hyperlink w:anchor="chapter_80">
        <w:r>
          <w:t>80  16 · UV cure · penetration and exotherm</w:t>
        </w:r>
      </w:hyperlink>
    </w:p>
    <w:p>
      <w:hyperlink w:anchor="chapter_81">
        <w:r>
          <w:t>81  17 · Moisture expansion + structural load</w:t>
        </w:r>
      </w:hyperlink>
    </w:p>
    <w:p>
      <w:hyperlink w:anchor="chapter_82">
        <w:r>
          <w:t>82  18 · Mixed Micro recipes · cure + structural response</w:t>
        </w:r>
      </w:hyperlink>
    </w:p>
    <w:p>
      <w:hyperlink w:anchor="chapter_83">
        <w:r>
          <w:t>83  19 · Cure + thermal + moisture + structural</w:t>
        </w:r>
      </w:hyperlink>
    </w:p>
    <w:p>
      <w:hyperlink w:anchor="chapter_84">
        <w:r>
          <w:t>84  20 · Coupled ply damage + delamination growth</w:t>
        </w:r>
      </w:hyperlink>
    </w:p>
    <w:p>
      <w:hyperlink w:anchor="chapter_85">
        <w:r>
          <w:t>85  D6641 · Compression coupon</w:t>
        </w:r>
      </w:hyperlink>
    </w:p>
    <w:p>
      <w:hyperlink w:anchor="chapter_86">
        <w:r>
          <w:t>86  D5379 / D7078 · Shear coupon</w:t>
        </w:r>
      </w:hyperlink>
    </w:p>
    <w:p>
      <w:hyperlink w:anchor="chapter_87">
        <w:r>
          <w:t>87  D5528 · DCB opening</w:t>
        </w:r>
      </w:hyperlink>
    </w:p>
    <w:p>
      <w:hyperlink w:anchor="chapter_88">
        <w:r>
          <w:t>88  D7905 · ENF sliding</w:t>
        </w:r>
      </w:hyperlink>
    </w:p>
    <w:p>
      <w:hyperlink w:anchor="chapter_89">
        <w:r>
          <w:t>89  D6671 · Mixed-mode fracture envelope</w:t>
        </w:r>
      </w:hyperlink>
    </w:p>
    <w:p>
      <w:hyperlink w:anchor="chapter_90">
        <w:r>
          <w:t>90  D5229 · Moisture uptake calibration</w:t>
        </w:r>
      </w:hyperlink>
    </w:p>
    <w:p>
      <w:hyperlink w:anchor="chapter_91">
        <w:r>
          <w:t>91  D5961 · Bearing / bypass screening</w:t>
        </w:r>
      </w:hyperlink>
    </w:p>
    <w:p>
      <w:hyperlink w:anchor="chapter_92">
        <w:r>
          <w:t>92  D6484 · Open-hole compression</w:t>
        </w:r>
      </w:hyperlink>
    </w:p>
    <w:p>
      <w:hyperlink w:anchor="chapter_93">
        <w:r>
          <w:t>93  D6742 · Filled-hole comparison</w:t>
        </w:r>
      </w:hyperlink>
    </w:p>
    <w:p>
      <w:hyperlink w:anchor="chapter_94">
        <w:r>
          <w:t>94  D7136 / D7137 · Impact &amp; CAI assessment</w:t>
        </w:r>
      </w:hyperlink>
    </w:p>
    <w:p>
      <w:hyperlink w:anchor="chapter_95">
        <w:r>
          <w:t>95  Wiener series and parallel</w:t>
        </w:r>
      </w:hyperlink>
    </w:p>
    <w:p>
      <w:hyperlink w:anchor="chapter_96">
        <w:r>
          <w:t>96  Looyenga / Landau–Lifshitz–Looyenga</w:t>
        </w:r>
      </w:hyperlink>
    </w:p>
    <w:p>
      <w:hyperlink w:anchor="chapter_97">
        <w:r>
          <w:t>97  Maxwell–Garnett</w:t>
        </w:r>
      </w:hyperlink>
    </w:p>
    <w:p>
      <w:hyperlink w:anchor="chapter_98">
        <w:r>
          <w:t>98  Normal-incidence laminate TMM</w:t>
        </w:r>
      </w:hyperlink>
    </w:p>
    <w:p>
      <w:hyperlink w:anchor="chapter_99">
        <w:r>
          <w:t>99  Bruggeman symmetric EMT</w:t>
        </w:r>
      </w:hyperlink>
    </w:p>
    <w:p>
      <w:hyperlink w:anchor="chapter_100">
        <w:r>
          <w:t>100  EM Mori–Tanaka</w:t>
        </w:r>
      </w:hyperlink>
    </w:p>
    <w:p>
      <w:hyperlink w:anchor="chapter_101">
        <w:r>
          <w:t>101  EM self-consistent</w:t>
        </w:r>
      </w:hyperlink>
    </w:p>
    <w:p>
      <w:hyperlink w:anchor="chapter_102">
        <w:r>
          <w:t>102  Differential effective medium</w:t>
        </w:r>
      </w:hyperlink>
    </w:p>
    <w:p>
      <w:hyperlink w:anchor="chapter_103">
        <w:r>
          <w:t>103  Coated sphere and interphase</w:t>
        </w:r>
      </w:hyperlink>
    </w:p>
    <w:p>
      <w:hyperlink w:anchor="chapter_104">
        <w:r>
          <w:t>104  Generalized multiphase EMT</w:t>
        </w:r>
      </w:hyperlink>
    </w:p>
    <w:p>
      <w:hyperlink w:anchor="chapter_105">
        <w:r>
          <w:t>105  Oblique polarized laminate TMM</w:t>
        </w:r>
      </w:hyperlink>
    </w:p>
    <w:p>
      <w:hyperlink w:anchor="chapter_106">
        <w:r>
          <w:t>106  1D transmission line matrix</w:t>
        </w:r>
      </w:hyperlink>
    </w:p>
    <w:p>
      <w:hyperlink w:anchor="chapter_107">
        <w:r>
          <w:t>107  1D Floquet–Bloch periodic layers</w:t>
        </w:r>
      </w:hyperlink>
    </w:p>
    <w:p>
      <w:hyperlink w:anchor="chapter_108">
        <w:r>
          <w:t>108  Open-hole strength</w:t>
        </w:r>
      </w:hyperlink>
    </w:p>
    <w:p>
      <w:hyperlink w:anchor="chapter_109">
        <w:r>
          <w:t>109  Creep &amp; stress relaxation</w:t>
        </w:r>
      </w:hyperlink>
    </w:p>
    <w:p>
      <w:hyperlink w:anchor="chapter_110">
        <w:r>
          <w:t>110  Analytical bonded joint</w:t>
        </w:r>
      </w:hyperlink>
    </w:p>
    <w:p>
      <w:hyperlink w:anchor="chapter_111">
        <w:r>
          <w:t>111  LaRC04 failure initiation</w:t>
        </w:r>
      </w:hyperlink>
    </w:p>
    <w:p>
      <w:hyperlink w:anchor="chapter_112">
        <w:r>
          <w:t>112  Tool-release shape</w:t>
        </w:r>
      </w:hyperlink>
    </w:p>
    <w:p>
      <w:hyperlink w:anchor="chapter_113">
        <w:r>
          <w:t>113  Fatigue residual properties</w:t>
        </w:r>
      </w:hyperlink>
    </w:p>
    <w:p>
      <w:hyperlink w:anchor="chapter_114">
        <w:r>
          <w:t>114  Cylinder buckling</w:t>
        </w:r>
      </w:hyperlink>
    </w:p>
    <w:p>
      <w:hyperlink w:anchor="chapter_115">
        <w:r>
          <w:t>115  Uncertainty &amp; sensitivity</w:t>
        </w:r>
      </w:hyperlink>
    </w:p>
    <w:p>
      <w:bookmarkStart w:id="1" w:name="chapter_1"/>
      <w:pPr>
        <w:pStyle w:val="Heading1"/>
        <w:pageBreakBefore/>
      </w:pPr>
      <w:r>
        <w:t>1 Work through published composite cases</w:t>
      </w:r>
      <w:bookmarkEnd w:id="1"/>
    </w:p>
    <w:p>
      <w:pPr>
        <w:pStyle w:val="Caption"/>
      </w:pPr>
      <w:hyperlink r:id="rId10">
        <w:r>
          <w:rPr>
            <w:color w:val="176EA4"/>
          </w:rPr>
          <w:t>Online chapter</w:t>
        </w:r>
      </w:hyperlink>
      <w:r>
        <w:t xml:space="preserve"> </w:t>
      </w:r>
    </w:p>
    <w:p>
      <w:pPr/>
      <w:r>
        <w:rPr>
          <w:b w:val="0"/>
          <w:i w:val="0"/>
        </w:rPr>
        <w:t>Each study starts with a real public engineering example, shows exactly what to build in CDS, defines review checkpoints, and distinguishes a learning comparison from a qualified design value.</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pStyle w:val="Heading2"/>
      </w:pPr>
      <w:r>
        <w:t>Exercise curriculum</w:t>
      </w:r>
    </w:p>
    <w:p>
      <w:pPr/>
      <w:r>
        <w:rPr>
          <w:b w:val="0"/>
          <w:i w:val="0"/>
        </w:rPr>
        <w:t>Shared CDS database</w:t>
      </w:r>
    </w:p>
    <w:p>
      <w:hyperlink r:id="rId13">
        <w:r>
          <w:rPr>
            <w:color w:val="176EA4"/>
          </w:rPr>
          <w:t>CREATE Design a starting point</w:t>
        </w:r>
      </w:hyperlink>
      <w:r>
        <w:t xml:space="preserve"> </w:t>
      </w:r>
    </w:p>
    <w:p>
      <w:hyperlink r:id="rId14">
        <w:r>
          <w:rPr>
            <w:color w:val="176EA4"/>
          </w:rPr>
          <w:t>DISCOVER Explore the live laminate</w:t>
        </w:r>
      </w:hyperlink>
      <w:r>
        <w:t xml:space="preserve"> </w:t>
      </w:r>
    </w:p>
    <w:p>
      <w:hyperlink r:id="rId15">
        <w:r>
          <w:rPr>
            <w:color w:val="176EA4"/>
          </w:rPr>
          <w:t>SIMULATE Launch Workbench</w:t>
        </w:r>
      </w:hyperlink>
      <w:r>
        <w:t xml:space="preserve"> </w:t>
      </w:r>
    </w:p>
    <w:p>
      <w:r>
        <w:t>Search exercises</w:t>
      </w:r>
    </w:p>
    <w:p>
      <w:r>
        <w:t>Application</w:t>
      </w:r>
    </w:p>
    <w:p>
      <w:r>
        <w:t>Model</w:t>
      </w:r>
    </w:p>
    <w:p>
      <w:r>
        <w:t>Geometry</w:t>
      </w:r>
    </w:p>
    <w:p>
      <w:r>
        <w:t>Resource type</w:t>
      </w:r>
    </w:p>
    <w:p>
      <w:r>
        <w:t>Group / sort by</w:t>
      </w:r>
    </w:p>
    <w:p>
      <w:pPr/>
      <w:r>
        <w:rPr>
          <w:b w:val="0"/>
          <w:i w:val="0"/>
        </w:rPr>
        <w:t>4</w:t>
      </w:r>
      <w:r>
        <w:rPr>
          <w:b w:val="0"/>
          <w:i w:val="0"/>
        </w:rPr>
        <w:t xml:space="preserve"> </w:t>
      </w:r>
      <w:r>
        <w:rPr>
          <w:b w:val="0"/>
          <w:i w:val="0"/>
        </w:rPr>
        <w:t xml:space="preserve"> of </w:t>
      </w:r>
      <w:r>
        <w:rPr>
          <w:b w:val="0"/>
          <w:i w:val="0"/>
        </w:rPr>
        <w:t xml:space="preserve"> </w:t>
      </w:r>
      <w:r>
        <w:rPr>
          <w:b w:val="0"/>
          <w:i w:val="0"/>
        </w:rPr>
        <w:t>4</w:t>
      </w:r>
      <w:r>
        <w:rPr>
          <w:b w:val="0"/>
          <w:i w:val="0"/>
        </w:rPr>
        <w:t xml:space="preserve"> </w:t>
      </w:r>
      <w:r>
        <w:rPr>
          <w:b w:val="0"/>
          <w:i w:val="0"/>
        </w:rPr>
        <w:t xml:space="preserve"> resources</w:t>
      </w:r>
    </w:p>
    <w:p>
      <w:pPr/>
      <w:r>
        <w:rPr>
          <w:b w:val="0"/>
          <w:i w:val="0"/>
        </w:rPr>
        <w:t>Exercises</w:t>
      </w:r>
    </w:p>
    <w:p>
      <w:pPr/>
      <w:r>
        <w:rPr>
          <w:b w:val="0"/>
          <w:i w:val="0"/>
        </w:rPr>
        <w:t>Click to preview · double-click or Enter to open in Workbench.</w:t>
      </w:r>
    </w:p>
    <w:p>
      <w:pPr>
        <w:pStyle w:val="Caption"/>
      </w:pPr>
      <w:r>
        <w:rPr>
          <w:b w:val="0"/>
          <w:i w:val="0"/>
        </w:rPr>
        <w:t xml:space="preserve">Two-row simulation workflow · </w:t>
      </w:r>
      <w:hyperlink r:id="rId16">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 name="Picture 1" descr="NASA · T700/PR520 lamina analysis two-row simulation workflow with connected input blocks, fatigue and optimization"/>
            <wp:cNvGraphicFramePr>
              <a:graphicFrameLocks noChangeAspect="1"/>
            </wp:cNvGraphicFramePr>
            <a:graphic>
              <a:graphicData uri="http://schemas.openxmlformats.org/drawingml/2006/picture">
                <pic:pic>
                  <pic:nvPicPr>
                    <pic:cNvPr id="0" name="rsvg-48de5823760dc84efc6f9c4b2a5e55e15ddddf433c12451f40cb07ecd5c1975f.png"/>
                    <pic:cNvPicPr/>
                  </pic:nvPicPr>
                  <pic:blipFill>
                    <a:blip r:embed="rId17"/>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CLT · Linear static with failure indices</w:t>
      </w:r>
      <w:r>
        <w:rPr>
          <w:b/>
          <w:i w:val="0"/>
        </w:rPr>
        <w:t xml:space="preserve"> </w:t>
      </w:r>
      <w:r>
        <w:rPr>
          <w:b/>
          <w:i w:val="0"/>
        </w:rPr>
        <w:t xml:space="preserve"> · </w:t>
      </w:r>
      <w:r>
        <w:rPr>
          <w:b/>
          <w:i w:val="0"/>
        </w:rPr>
        <w:t xml:space="preserve"> </w:t>
      </w:r>
      <w:r>
        <w:rPr>
          <w:b/>
          <w:i w:val="0"/>
        </w:rPr>
        <w:t>Plate — Nx Static Validation · Unidirectional lamina</w:t>
      </w:r>
    </w:p>
    <w:p>
      <w:pPr/>
      <w:r>
        <w:rPr>
          <w:b w:val="0"/>
          <w:i w:val="0"/>
        </w:rPr>
        <w:t>Shared laminate stiffness drives this membrane/CLT path. Failure criteria are independent comparisons, not blended models. Fatigue is a separate assessment.</w:t>
      </w:r>
    </w:p>
    <w:p>
      <w:pPr>
        <w:keepNext/>
      </w:pPr>
      <w:r>
        <w:rPr>
          <w:b/>
          <w:i w:val="0"/>
        </w:rPr>
        <w:t>Failure criterion · Maximum stress</w:t>
      </w:r>
    </w:p>
    <w:p>
      <w:pPr/>
      <w:r>
        <w:rPr>
          <w:b w:val="0"/>
          <w:i w:val="0"/>
        </w:rPr>
        <w:t>Primary criterion. Additional envelope comparisons are chosen in Response → Failure; they run independently.</w:t>
      </w:r>
    </w:p>
    <w:p>
      <w:hyperlink r:id="rId20">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Geometry</w:t>
      </w:r>
      <w:r>
        <w:rPr>
          <w:b/>
          <w:i w:val="0"/>
        </w:rPr>
        <w:t xml:space="preserve"> </w:t>
      </w:r>
      <w:r>
        <w:rPr>
          <w:b/>
          <w:i w:val="0"/>
        </w:rPr>
        <w:t xml:space="preserve"> → </w:t>
      </w:r>
      <w:r>
        <w:rPr>
          <w:b/>
          <w:i w:val="0"/>
        </w:rPr>
        <w:t xml:space="preserve"> </w:t>
      </w:r>
      <w:r>
        <w:rPr>
          <w:b/>
          <w:i w:val="0"/>
        </w:rPr>
        <w:t>Mechanical</w:t>
      </w:r>
      <w:r>
        <w:br/>
      </w:r>
      <w:r>
        <w:rPr>
          <w:b w:val="0"/>
          <w:i w:val="0"/>
        </w:rPr>
        <w:t>Shape and dimensions for the selected structural analysis.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r>
        <w:t>Web case study</w:t>
      </w:r>
    </w:p>
    <w:p>
      <w:r>
        <w:t>45</w:t>
      </w:r>
    </w:p>
    <w:p>
      <w:r>
        <w:t>min</w:t>
      </w:r>
    </w:p>
    <w:p>
      <w:pPr>
        <w:pStyle w:val="Heading3"/>
      </w:pPr>
      <w:r>
        <w:t>NASA T700/PR520 lamina analysis</w:t>
      </w:r>
    </w:p>
    <w:p>
      <w:pPr/>
      <w:r>
        <w:rPr>
          <w:b w:val="0"/>
          <w:i w:val="0"/>
        </w:rPr>
        <w:t>1. Getting started</w:t>
      </w:r>
      <w:r>
        <w:rPr>
          <w:b w:val="0"/>
          <w:i w:val="0"/>
        </w:rPr>
        <w:t xml:space="preserve"> </w:t>
      </w:r>
      <w:r>
        <w:rPr>
          <w:b w:val="0"/>
          <w:i w:val="0"/>
        </w:rPr>
        <w:t xml:space="preserve"> · </w:t>
      </w:r>
      <w:r>
        <w:rPr>
          <w:b w:val="0"/>
          <w:i w:val="0"/>
        </w:rPr>
        <w:t xml:space="preserve"> </w:t>
      </w:r>
      <w:r>
        <w:rPr>
          <w:b w:val="0"/>
          <w:i w:val="0"/>
        </w:rPr>
        <w:t>case-lamina-analysis</w:t>
      </w:r>
    </w:p>
    <w:p>
      <w:pPr/>
      <w:r>
        <w:rPr>
          <w:b w:val="0"/>
          <w:i w:val="0"/>
        </w:rPr>
        <w:t>Application</w:t>
      </w:r>
    </w:p>
    <w:p>
      <w:pPr/>
      <w:r>
        <w:rPr>
          <w:b w:val="0"/>
          <w:i w:val="0"/>
        </w:rPr>
        <w:t>Constituent-to-lamina comparison</w:t>
      </w:r>
    </w:p>
    <w:p>
      <w:pPr/>
      <w:r>
        <w:rPr>
          <w:b w:val="0"/>
          <w:i w:val="0"/>
        </w:rPr>
        <w:t>Models</w:t>
      </w:r>
    </w:p>
    <w:p>
      <w:pPr/>
      <w:r>
        <w:rPr>
          <w:b w:val="0"/>
          <w:i w:val="0"/>
        </w:rPr>
        <w:t>Halpin–Tsai · Rule of mixtures · MAC/GMC comparison</w:t>
      </w:r>
    </w:p>
    <w:p>
      <w:pPr/>
      <w:r>
        <w:rPr>
          <w:b w:val="0"/>
          <w:i w:val="0"/>
        </w:rPr>
        <w:t>Geometry</w:t>
      </w:r>
    </w:p>
    <w:p>
      <w:pPr/>
      <w:r>
        <w:rPr>
          <w:b w:val="0"/>
          <w:i w:val="0"/>
        </w:rPr>
        <w:t>Unidirectional lamina</w:t>
      </w:r>
    </w:p>
    <w:p>
      <w:hyperlink r:id="rId21">
        <w:r>
          <w:rPr>
            <w:color w:val="176EA4"/>
          </w:rPr>
          <w:t>Open in Workbench </w:t>
        </w:r>
      </w:hyperlink>
      <w:r>
        <w:t xml:space="preserve"> </w:t>
      </w:r>
      <w:hyperlink r:id="rId22">
        <w:r>
          <w:rPr>
            <w:color w:val="176EA4"/>
          </w:rPr>
          <w:t>Database downloads in user portal →</w:t>
        </w:r>
      </w:hyperlink>
      <w:r>
        <w:t xml:space="preserve"> </w:t>
      </w:r>
    </w:p>
    <w:p>
      <w:pPr/>
      <w:r>
        <w:rPr>
          <w:b/>
          <w:i w:val="0"/>
        </w:rPr>
        <w:t xml:space="preserve">Setup required: </w:t>
      </w:r>
      <w:r>
        <w:rPr>
          <w:b w:val="0"/>
          <w:i w:val="0"/>
        </w:rPr>
        <w:t>The copied T700/EP180 database is a connected starter, not T700/PR520. Complete the constituent setup below before comparing with NASA.</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copied T700/EP180 database is a connected starter, not T700/PR520. Complete the constituent setup below before comparing with NASA.</w:t>
      </w:r>
    </w:p>
    <w:p>
      <w:pPr>
        <w:pStyle w:val="ListBullet"/>
      </w:pPr>
      <w:hyperlink r:id="rId23">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pStyle w:val="Heading3"/>
      </w:pPr>
      <w:r>
        <w:t>Tested inputs</w:t>
      </w:r>
    </w:p>
    <w:p>
      <w:pPr/>
      <w:r>
        <w:rPr>
          <w:b w:val="0"/>
          <w:i w:val="0"/>
        </w:rPr>
        <w:t xml:space="preserve">Input SHA-256: </w:t>
      </w:r>
      <w:r>
        <w:rPr>
          <w:b w:val="0"/>
          <w:i w:val="0"/>
        </w:rPr>
        <w:t xml:space="preserve"> </w:t>
      </w:r>
      <w:r>
        <w:rPr>
          <w:b w:val="0"/>
          <w:i w:val="0"/>
        </w:rPr>
        <w:t>f332a9c41bf7dc1aaa5eb2521be80c1e6feeef085db48ea61d81a3475b42b7b9</w:t>
      </w:r>
      <w:r>
        <w:br/>
      </w:r>
      <w:r>
        <w:rPr>
          <w:b w:val="0"/>
          <w:i w:val="0"/>
        </w:rPr>
        <w:t xml:space="preserve">Solver source SHA-256: </w:t>
      </w:r>
      <w:r>
        <w:rPr>
          <w:b w:val="0"/>
          <w:i w:val="0"/>
        </w:rPr>
        <w:t xml:space="preserve"> </w:t>
      </w:r>
      <w:r>
        <w:rPr>
          <w:b w:val="0"/>
          <w:i w:val="0"/>
        </w:rPr>
        <w:t>30c8a614b6cb004a26da8adaf8ab7c534c37c4d534836921939f35a549e1bcc5</w:t>
      </w:r>
    </w:p>
    <w:p>
      <w:pPr>
        <w:pStyle w:val="ListBullet"/>
      </w:pPr>
      <w:r>
        <w:rPr>
          <w:b w:val="0"/>
          <w:i w:val="0"/>
        </w:rPr>
        <w:t>Constituent-to-lamina screening only. The NASA braid subcells, calibrated LS-DYNA damage and coupon validation are not reproduced.</w:t>
      </w:r>
    </w:p>
    <w:p>
      <w:pPr>
        <w:keepNext/>
      </w:pPr>
      <w:r>
        <w:rPr>
          <w:b/>
          <w:i w:val="0"/>
        </w:rPr>
        <w:t xml:space="preserve">Separate published-data fixture: </w:t>
      </w:r>
      <w:r>
        <w:rPr>
          <w:b/>
          <w:i w:val="0"/>
        </w:rPr>
        <w:t xml:space="preserve"> </w:t>
      </w:r>
      <w:r>
        <w:rPr>
          <w:b/>
          <w:i w:val="0"/>
        </w:rPr>
        <w:t>Benchmark discrepancy</w:t>
      </w:r>
    </w:p>
    <w:p>
      <w:pPr/>
      <w:r>
        <w:rPr>
          <w:b w:val="0"/>
          <w:i w:val="0"/>
        </w:rPr>
        <w:t>Source-matched constituent fixture compared with NASA MAC/GMC, 1% exploratory equivalence criterion declared before running. A different homogenization model need not match; mismatch is retained, not fitted away.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E1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88.75</w:t>
            </w:r>
          </w:p>
        </w:tc>
        <w:tc>
          <w:tcPr>
            <w:tcW w:type="dxa" w:w="1632"/>
            <w:vAlign w:val="center"/>
            <w:shd w:fill="FFFFFF"/>
          </w:tcPr>
          <w:p>
            <w:pPr>
              <w:spacing w:after="100" w:before="100"/>
            </w:pPr>
            <w:r>
              <w:rPr>
                <w:b w:val="0"/>
                <w:i w:val="0"/>
                <w:sz w:val="18"/>
              </w:rPr>
              <w:t>88.5</w:t>
            </w:r>
          </w:p>
        </w:tc>
        <w:tc>
          <w:tcPr>
            <w:tcW w:type="dxa" w:w="1632"/>
            <w:vAlign w:val="center"/>
            <w:shd w:fill="FFFFFF"/>
          </w:tcPr>
          <w:p>
            <w:pPr>
              <w:spacing w:after="100" w:before="100"/>
            </w:pPr>
            <w:r>
              <w:rPr>
                <w:b w:val="0"/>
                <w:i w:val="0"/>
                <w:sz w:val="18"/>
              </w:rPr>
              <w:t>0.2824859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5.51724</w:t>
            </w:r>
          </w:p>
        </w:tc>
        <w:tc>
          <w:tcPr>
            <w:tcW w:type="dxa" w:w="1632"/>
            <w:vAlign w:val="center"/>
            <w:shd w:fill="FFFFFF"/>
          </w:tcPr>
          <w:p>
            <w:pPr>
              <w:spacing w:after="100" w:before="100"/>
            </w:pPr>
            <w:r>
              <w:rPr>
                <w:b w:val="0"/>
                <w:i w:val="0"/>
                <w:sz w:val="18"/>
              </w:rPr>
              <w:t>6.22</w:t>
            </w:r>
          </w:p>
        </w:tc>
        <w:tc>
          <w:tcPr>
            <w:tcW w:type="dxa" w:w="1632"/>
            <w:vAlign w:val="center"/>
            <w:shd w:fill="FFFFFF"/>
          </w:tcPr>
          <w:p>
            <w:pPr>
              <w:spacing w:after="100" w:before="100"/>
            </w:pPr>
            <w:r>
              <w:rPr>
                <w:b w:val="0"/>
                <w:i w:val="0"/>
                <w:sz w:val="18"/>
              </w:rPr>
              <w:t>-11.29839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2.23256</w:t>
            </w:r>
          </w:p>
        </w:tc>
        <w:tc>
          <w:tcPr>
            <w:tcW w:type="dxa" w:w="1632"/>
            <w:vAlign w:val="center"/>
            <w:shd w:fill="FFFFFF"/>
          </w:tcPr>
          <w:p>
            <w:pPr>
              <w:spacing w:after="100" w:before="100"/>
            </w:pPr>
            <w:r>
              <w:rPr>
                <w:b w:val="0"/>
                <w:i w:val="0"/>
                <w:sz w:val="18"/>
              </w:rPr>
              <w:t>2.6</w:t>
            </w:r>
          </w:p>
        </w:tc>
        <w:tc>
          <w:tcPr>
            <w:tcW w:type="dxa" w:w="1632"/>
            <w:vAlign w:val="center"/>
            <w:shd w:fill="FFFFFF"/>
          </w:tcPr>
          <w:p>
            <w:pPr>
              <w:spacing w:after="100" w:before="100"/>
            </w:pPr>
            <w:r>
              <w:rPr>
                <w:b w:val="0"/>
                <w:i w:val="0"/>
                <w:sz w:val="18"/>
              </w:rPr>
              <w:t>-14.13231</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169.658</w:t>
            </w:r>
          </w:p>
        </w:tc>
        <w:tc>
          <w:tcPr>
            <w:tcW w:type="dxa" w:w="1632"/>
            <w:vAlign w:val="center"/>
            <w:shd w:fill="FFFFFF"/>
          </w:tcPr>
          <w:p>
            <w:pPr>
              <w:spacing w:after="100" w:before="100"/>
            </w:pPr>
            <w:r>
              <w:rPr>
                <w:b w:val="0"/>
                <w:i w:val="0"/>
                <w:sz w:val="18"/>
              </w:rPr>
              <w:t>169.5</w:t>
            </w:r>
          </w:p>
        </w:tc>
        <w:tc>
          <w:tcPr>
            <w:tcW w:type="dxa" w:w="1632"/>
            <w:vAlign w:val="center"/>
            <w:shd w:fill="FFFFFF"/>
          </w:tcPr>
          <w:p>
            <w:pPr>
              <w:spacing w:after="100" w:before="100"/>
            </w:pPr>
            <w:r>
              <w:rPr>
                <w:b w:val="0"/>
                <w:i w:val="0"/>
                <w:sz w:val="18"/>
              </w:rPr>
              <w:t>0.09321534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8.64927</w:t>
            </w:r>
          </w:p>
        </w:tc>
        <w:tc>
          <w:tcPr>
            <w:tcW w:type="dxa" w:w="1632"/>
            <w:vAlign w:val="center"/>
            <w:shd w:fill="FFFFFF"/>
          </w:tcPr>
          <w:p>
            <w:pPr>
              <w:spacing w:after="100" w:before="100"/>
            </w:pPr>
            <w:r>
              <w:rPr>
                <w:b w:val="0"/>
                <w:i w:val="0"/>
                <w:sz w:val="18"/>
              </w:rPr>
              <w:t>9.9</w:t>
            </w:r>
          </w:p>
        </w:tc>
        <w:tc>
          <w:tcPr>
            <w:tcW w:type="dxa" w:w="1632"/>
            <w:vAlign w:val="center"/>
            <w:shd w:fill="FFFFFF"/>
          </w:tcPr>
          <w:p>
            <w:pPr>
              <w:spacing w:after="100" w:before="100"/>
            </w:pPr>
            <w:r>
              <w:rPr>
                <w:b w:val="0"/>
                <w:i w:val="0"/>
                <w:sz w:val="18"/>
              </w:rPr>
              <w:t>-12.63364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4.70445</w:t>
            </w:r>
          </w:p>
        </w:tc>
        <w:tc>
          <w:tcPr>
            <w:tcW w:type="dxa" w:w="1632"/>
            <w:vAlign w:val="center"/>
            <w:shd w:fill="FFFFFF"/>
          </w:tcPr>
          <w:p>
            <w:pPr>
              <w:spacing w:after="100" w:before="100"/>
            </w:pPr>
            <w:r>
              <w:rPr>
                <w:b w:val="0"/>
                <w:i w:val="0"/>
                <w:sz w:val="18"/>
              </w:rPr>
              <w:t>7</w:t>
            </w:r>
          </w:p>
        </w:tc>
        <w:tc>
          <w:tcPr>
            <w:tcW w:type="dxa" w:w="1632"/>
            <w:vAlign w:val="center"/>
            <w:shd w:fill="FFFFFF"/>
          </w:tcPr>
          <w:p>
            <w:pPr>
              <w:spacing w:after="100" w:before="100"/>
            </w:pPr>
            <w:r>
              <w:rPr>
                <w:b w:val="0"/>
                <w:i w:val="0"/>
                <w:sz w:val="18"/>
              </w:rPr>
              <w:t>-32.79357</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184.8</w:t>
            </w:r>
          </w:p>
        </w:tc>
        <w:tc>
          <w:tcPr>
            <w:tcW w:type="dxa" w:w="1632"/>
            <w:vAlign w:val="center"/>
            <w:shd w:fill="FFFFFF"/>
          </w:tcPr>
          <w:p>
            <w:pPr>
              <w:spacing w:after="100" w:before="100"/>
            </w:pPr>
            <w:r>
              <w:rPr>
                <w:b w:val="0"/>
                <w:i w:val="0"/>
                <w:sz w:val="18"/>
              </w:rPr>
              <w:t>184.7</w:t>
            </w:r>
          </w:p>
        </w:tc>
        <w:tc>
          <w:tcPr>
            <w:tcW w:type="dxa" w:w="1632"/>
            <w:vAlign w:val="center"/>
            <w:shd w:fill="FFFFFF"/>
          </w:tcPr>
          <w:p>
            <w:pPr>
              <w:spacing w:after="100" w:before="100"/>
            </w:pPr>
            <w:r>
              <w:rPr>
                <w:b w:val="0"/>
                <w:i w:val="0"/>
                <w:sz w:val="18"/>
              </w:rPr>
              <w:t>0.05414185</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9.67742</w:t>
            </w:r>
          </w:p>
        </w:tc>
        <w:tc>
          <w:tcPr>
            <w:tcW w:type="dxa" w:w="1632"/>
            <w:vAlign w:val="center"/>
            <w:shd w:fill="FFFFFF"/>
          </w:tcPr>
          <w:p>
            <w:pPr>
              <w:spacing w:after="100" w:before="100"/>
            </w:pPr>
            <w:r>
              <w:rPr>
                <w:b w:val="0"/>
                <w:i w:val="0"/>
                <w:sz w:val="18"/>
              </w:rPr>
              <w:t>10.9</w:t>
            </w:r>
          </w:p>
        </w:tc>
        <w:tc>
          <w:tcPr>
            <w:tcW w:type="dxa" w:w="1632"/>
            <w:vAlign w:val="center"/>
            <w:shd w:fill="FFFFFF"/>
          </w:tcPr>
          <w:p>
            <w:pPr>
              <w:spacing w:after="100" w:before="100"/>
            </w:pPr>
            <w:r>
              <w:rPr>
                <w:b w:val="0"/>
                <w:i w:val="0"/>
                <w:sz w:val="18"/>
              </w:rPr>
              <w:t>-11.21633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5.93407</w:t>
            </w:r>
          </w:p>
        </w:tc>
        <w:tc>
          <w:tcPr>
            <w:tcW w:type="dxa" w:w="1632"/>
            <w:vAlign w:val="center"/>
            <w:shd w:fill="FFFFFF"/>
          </w:tcPr>
          <w:p>
            <w:pPr>
              <w:spacing w:after="100" w:before="100"/>
            </w:pPr>
            <w:r>
              <w:rPr>
                <w:b w:val="0"/>
                <w:i w:val="0"/>
                <w:sz w:val="18"/>
              </w:rPr>
              <w:t>6</w:t>
            </w:r>
          </w:p>
        </w:tc>
        <w:tc>
          <w:tcPr>
            <w:tcW w:type="dxa" w:w="1632"/>
            <w:vAlign w:val="center"/>
            <w:shd w:fill="FFFFFF"/>
          </w:tcPr>
          <w:p>
            <w:pPr>
              <w:spacing w:after="100" w:before="100"/>
            </w:pPr>
            <w:r>
              <w:rPr>
                <w:b w:val="0"/>
                <w:i w:val="0"/>
                <w:sz w:val="18"/>
              </w:rPr>
              <w:t>-1.098833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bl>
    <w:p>
      <w:pPr>
        <w:spacing w:after="0"/>
      </w:pPr>
    </w:p>
    <w:p>
      <w:pPr>
        <w:pStyle w:val="ListBullet"/>
      </w:pPr>
      <w:hyperlink r:id="rId23">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keepNext/>
      </w:pPr>
      <w:r>
        <w:rPr>
          <w:b/>
          <w:i w:val="0"/>
        </w:rPr>
        <w:t>Fixture inputs</w:t>
      </w:r>
    </w:p>
    <w:p>
      <w:pPr>
        <w:pStyle w:val="Caption"/>
      </w:pPr>
      <w:r>
        <w:t>{</w:t>
        <w:br/>
        <w:t xml:space="preserve">  "fiber": {</w:t>
        <w:br/>
        <w:t xml:space="preserve">    "E1": 230,</w:t>
        <w:br/>
        <w:t xml:space="preserve">    "E2": 15,</w:t>
        <w:br/>
        <w:t xml:space="preserve">    "G12": 27,</w:t>
        <w:br/>
        <w:t xml:space="preserve">    "nu12": 0.2</w:t>
        <w:br/>
        <w:t xml:space="preserve">  },</w:t>
        <w:br/>
        <w:t xml:space="preserve">  "matrix": {</w:t>
        <w:br/>
        <w:t xml:space="preserve">    "E": 4,</w:t>
        <w:br/>
        <w:t xml:space="preserve">    "G": 1.44,</w:t>
        <w:br/>
        <w:t xml:space="preserve">    "nu": 0.38</w:t>
        <w:br/>
        <w:t xml:space="preserve">  },</w:t>
        <w:br/>
        <w:t xml:space="preserve">  "volumeFractions": [</w:t>
        <w:br/>
        <w:t xml:space="preserve">    0.375,</w:t>
        <w:br/>
        <w:t xml:space="preserve">    0.733,</w:t>
        <w:br/>
        <w:t xml:space="preserve">    0.8</w:t>
        <w:br/>
        <w:t xml:space="preserve">  ],</w:t>
        <w:br/>
        <w:t xml:space="preserve">  "voidFraction": 0,</w:t>
        <w:br/>
        <w:t xml:space="preserve">  "model": "Rule of mixtures"</w:t>
        <w:br/>
        <w:t>}</w:t>
      </w:r>
    </w:p>
    <w:p>
      <w:pPr>
        <w:keepNext/>
      </w:pPr>
      <w:r>
        <w:rPr>
          <w:b/>
          <w:i w:val="0"/>
        </w:rPr>
        <w:t xml:space="preserve">Separate published-data fixture: </w:t>
      </w:r>
      <w:r>
        <w:rPr>
          <w:b/>
          <w:i w:val="0"/>
        </w:rPr>
        <w:t xml:space="preserve"> </w:t>
      </w:r>
      <w:r>
        <w:rPr>
          <w:b/>
          <w:i w:val="0"/>
        </w:rPr>
        <w:t>Benchmark discrepancy</w:t>
      </w:r>
    </w:p>
    <w:p>
      <w:pPr/>
      <w:r>
        <w:rPr>
          <w:b w:val="0"/>
          <w:i w:val="0"/>
        </w:rPr>
        <w:t>Source-matched constituent fixture compared with NASA MAC/GMC, 1% exploratory equivalence criterion declared before running. A different homogenization model need not match; mismatch is retained, not fitted away.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E1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88.75</w:t>
            </w:r>
          </w:p>
        </w:tc>
        <w:tc>
          <w:tcPr>
            <w:tcW w:type="dxa" w:w="1632"/>
            <w:vAlign w:val="center"/>
            <w:shd w:fill="FFFFFF"/>
          </w:tcPr>
          <w:p>
            <w:pPr>
              <w:spacing w:after="100" w:before="100"/>
            </w:pPr>
            <w:r>
              <w:rPr>
                <w:b w:val="0"/>
                <w:i w:val="0"/>
                <w:sz w:val="18"/>
              </w:rPr>
              <w:t>88.5</w:t>
            </w:r>
          </w:p>
        </w:tc>
        <w:tc>
          <w:tcPr>
            <w:tcW w:type="dxa" w:w="1632"/>
            <w:vAlign w:val="center"/>
            <w:shd w:fill="FFFFFF"/>
          </w:tcPr>
          <w:p>
            <w:pPr>
              <w:spacing w:after="100" w:before="100"/>
            </w:pPr>
            <w:r>
              <w:rPr>
                <w:b w:val="0"/>
                <w:i w:val="0"/>
                <w:sz w:val="18"/>
              </w:rPr>
              <w:t>0.2824859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6.62252</w:t>
            </w:r>
          </w:p>
        </w:tc>
        <w:tc>
          <w:tcPr>
            <w:tcW w:type="dxa" w:w="1632"/>
            <w:vAlign w:val="center"/>
            <w:shd w:fill="FFFFFF"/>
          </w:tcPr>
          <w:p>
            <w:pPr>
              <w:spacing w:after="100" w:before="100"/>
            </w:pPr>
            <w:r>
              <w:rPr>
                <w:b w:val="0"/>
                <w:i w:val="0"/>
                <w:sz w:val="18"/>
              </w:rPr>
              <w:t>6.22</w:t>
            </w:r>
          </w:p>
        </w:tc>
        <w:tc>
          <w:tcPr>
            <w:tcW w:type="dxa" w:w="1632"/>
            <w:vAlign w:val="center"/>
            <w:shd w:fill="FFFFFF"/>
          </w:tcPr>
          <w:p>
            <w:pPr>
              <w:spacing w:after="100" w:before="100"/>
            </w:pPr>
            <w:r>
              <w:rPr>
                <w:b w:val="0"/>
                <w:i w:val="0"/>
                <w:sz w:val="18"/>
              </w:rPr>
              <w:t>6.471383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2.90406</w:t>
            </w:r>
          </w:p>
        </w:tc>
        <w:tc>
          <w:tcPr>
            <w:tcW w:type="dxa" w:w="1632"/>
            <w:vAlign w:val="center"/>
            <w:shd w:fill="FFFFFF"/>
          </w:tcPr>
          <w:p>
            <w:pPr>
              <w:spacing w:after="100" w:before="100"/>
            </w:pPr>
            <w:r>
              <w:rPr>
                <w:b w:val="0"/>
                <w:i w:val="0"/>
                <w:sz w:val="18"/>
              </w:rPr>
              <w:t>2.6</w:t>
            </w:r>
          </w:p>
        </w:tc>
        <w:tc>
          <w:tcPr>
            <w:tcW w:type="dxa" w:w="1632"/>
            <w:vAlign w:val="center"/>
            <w:shd w:fill="FFFFFF"/>
          </w:tcPr>
          <w:p>
            <w:pPr>
              <w:spacing w:after="100" w:before="100"/>
            </w:pPr>
            <w:r>
              <w:rPr>
                <w:b w:val="0"/>
                <w:i w:val="0"/>
                <w:sz w:val="18"/>
              </w:rPr>
              <w:t>11.69462</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169.658</w:t>
            </w:r>
          </w:p>
        </w:tc>
        <w:tc>
          <w:tcPr>
            <w:tcW w:type="dxa" w:w="1632"/>
            <w:vAlign w:val="center"/>
            <w:shd w:fill="FFFFFF"/>
          </w:tcPr>
          <w:p>
            <w:pPr>
              <w:spacing w:after="100" w:before="100"/>
            </w:pPr>
            <w:r>
              <w:rPr>
                <w:b w:val="0"/>
                <w:i w:val="0"/>
                <w:sz w:val="18"/>
              </w:rPr>
              <w:t>169.5</w:t>
            </w:r>
          </w:p>
        </w:tc>
        <w:tc>
          <w:tcPr>
            <w:tcW w:type="dxa" w:w="1632"/>
            <w:vAlign w:val="center"/>
            <w:shd w:fill="FFFFFF"/>
          </w:tcPr>
          <w:p>
            <w:pPr>
              <w:spacing w:after="100" w:before="100"/>
            </w:pPr>
            <w:r>
              <w:rPr>
                <w:b w:val="0"/>
                <w:i w:val="0"/>
                <w:sz w:val="18"/>
              </w:rPr>
              <w:t>0.09321534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10.47761</w:t>
            </w:r>
          </w:p>
        </w:tc>
        <w:tc>
          <w:tcPr>
            <w:tcW w:type="dxa" w:w="1632"/>
            <w:vAlign w:val="center"/>
            <w:shd w:fill="FFFFFF"/>
          </w:tcPr>
          <w:p>
            <w:pPr>
              <w:spacing w:after="100" w:before="100"/>
            </w:pPr>
            <w:r>
              <w:rPr>
                <w:b w:val="0"/>
                <w:i w:val="0"/>
                <w:sz w:val="18"/>
              </w:rPr>
              <w:t>9.9</w:t>
            </w:r>
          </w:p>
        </w:tc>
        <w:tc>
          <w:tcPr>
            <w:tcW w:type="dxa" w:w="1632"/>
            <w:vAlign w:val="center"/>
            <w:shd w:fill="FFFFFF"/>
          </w:tcPr>
          <w:p>
            <w:pPr>
              <w:spacing w:after="100" w:before="100"/>
            </w:pPr>
            <w:r>
              <w:rPr>
                <w:b w:val="0"/>
                <w:i w:val="0"/>
                <w:sz w:val="18"/>
              </w:rPr>
              <w:t>5.834444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7.00011</w:t>
            </w:r>
          </w:p>
        </w:tc>
        <w:tc>
          <w:tcPr>
            <w:tcW w:type="dxa" w:w="1632"/>
            <w:vAlign w:val="center"/>
            <w:shd w:fill="FFFFFF"/>
          </w:tcPr>
          <w:p>
            <w:pPr>
              <w:spacing w:after="100" w:before="100"/>
            </w:pPr>
            <w:r>
              <w:rPr>
                <w:b w:val="0"/>
                <w:i w:val="0"/>
                <w:sz w:val="18"/>
              </w:rPr>
              <w:t>7</w:t>
            </w:r>
          </w:p>
        </w:tc>
        <w:tc>
          <w:tcPr>
            <w:tcW w:type="dxa" w:w="1632"/>
            <w:vAlign w:val="center"/>
            <w:shd w:fill="FFFFFF"/>
          </w:tcPr>
          <w:p>
            <w:pPr>
              <w:spacing w:after="100" w:before="100"/>
            </w:pPr>
            <w:r>
              <w:rPr>
                <w:b w:val="0"/>
                <w:i w:val="0"/>
                <w:sz w:val="18"/>
              </w:rPr>
              <w:t>0.001571429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E1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184.8</w:t>
            </w:r>
          </w:p>
        </w:tc>
        <w:tc>
          <w:tcPr>
            <w:tcW w:type="dxa" w:w="1632"/>
            <w:vAlign w:val="center"/>
            <w:shd w:fill="FFFFFF"/>
          </w:tcPr>
          <w:p>
            <w:pPr>
              <w:spacing w:after="100" w:before="100"/>
            </w:pPr>
            <w:r>
              <w:rPr>
                <w:b w:val="0"/>
                <w:i w:val="0"/>
                <w:sz w:val="18"/>
              </w:rPr>
              <w:t>184.7</w:t>
            </w:r>
          </w:p>
        </w:tc>
        <w:tc>
          <w:tcPr>
            <w:tcW w:type="dxa" w:w="1632"/>
            <w:vAlign w:val="center"/>
            <w:shd w:fill="FFFFFF"/>
          </w:tcPr>
          <w:p>
            <w:pPr>
              <w:spacing w:after="100" w:before="100"/>
            </w:pPr>
            <w:r>
              <w:rPr>
                <w:b w:val="0"/>
                <w:i w:val="0"/>
                <w:sz w:val="18"/>
              </w:rPr>
              <w:t>0.05414185</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11.43662</w:t>
            </w:r>
          </w:p>
        </w:tc>
        <w:tc>
          <w:tcPr>
            <w:tcW w:type="dxa" w:w="1632"/>
            <w:vAlign w:val="center"/>
            <w:shd w:fill="FFFFFF"/>
          </w:tcPr>
          <w:p>
            <w:pPr>
              <w:spacing w:after="100" w:before="100"/>
            </w:pPr>
            <w:r>
              <w:rPr>
                <w:b w:val="0"/>
                <w:i w:val="0"/>
                <w:sz w:val="18"/>
              </w:rPr>
              <w:t>10.9</w:t>
            </w:r>
          </w:p>
        </w:tc>
        <w:tc>
          <w:tcPr>
            <w:tcW w:type="dxa" w:w="1632"/>
            <w:vAlign w:val="center"/>
            <w:shd w:fill="FFFFFF"/>
          </w:tcPr>
          <w:p>
            <w:pPr>
              <w:spacing w:after="100" w:before="100"/>
            </w:pPr>
            <w:r>
              <w:rPr>
                <w:b w:val="0"/>
                <w:i w:val="0"/>
                <w:sz w:val="18"/>
              </w:rPr>
              <w:t>4.923119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8.80865</w:t>
            </w:r>
          </w:p>
        </w:tc>
        <w:tc>
          <w:tcPr>
            <w:tcW w:type="dxa" w:w="1632"/>
            <w:vAlign w:val="center"/>
            <w:shd w:fill="FFFFFF"/>
          </w:tcPr>
          <w:p>
            <w:pPr>
              <w:spacing w:after="100" w:before="100"/>
            </w:pPr>
            <w:r>
              <w:rPr>
                <w:b w:val="0"/>
                <w:i w:val="0"/>
                <w:sz w:val="18"/>
              </w:rPr>
              <w:t>6</w:t>
            </w:r>
          </w:p>
        </w:tc>
        <w:tc>
          <w:tcPr>
            <w:tcW w:type="dxa" w:w="1632"/>
            <w:vAlign w:val="center"/>
            <w:shd w:fill="FFFFFF"/>
          </w:tcPr>
          <w:p>
            <w:pPr>
              <w:spacing w:after="100" w:before="100"/>
            </w:pPr>
            <w:r>
              <w:rPr>
                <w:b w:val="0"/>
                <w:i w:val="0"/>
                <w:sz w:val="18"/>
              </w:rPr>
              <w:t>46.81083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bl>
    <w:p>
      <w:pPr>
        <w:spacing w:after="0"/>
      </w:pPr>
    </w:p>
    <w:p>
      <w:pPr>
        <w:pStyle w:val="ListBullet"/>
      </w:pPr>
      <w:hyperlink r:id="rId23">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keepNext/>
      </w:pPr>
      <w:r>
        <w:rPr>
          <w:b/>
          <w:i w:val="0"/>
        </w:rPr>
        <w:t>Fixture inputs</w:t>
      </w:r>
    </w:p>
    <w:p>
      <w:pPr>
        <w:pStyle w:val="Caption"/>
      </w:pPr>
      <w:r>
        <w:t>{</w:t>
        <w:br/>
        <w:t xml:space="preserve">  "fiber": {</w:t>
        <w:br/>
        <w:t xml:space="preserve">    "E1": 230,</w:t>
        <w:br/>
        <w:t xml:space="preserve">    "E2": 15,</w:t>
        <w:br/>
        <w:t xml:space="preserve">    "G12": 27,</w:t>
        <w:br/>
        <w:t xml:space="preserve">    "nu12": 0.2</w:t>
        <w:br/>
        <w:t xml:space="preserve">  },</w:t>
        <w:br/>
        <w:t xml:space="preserve">  "matrix": {</w:t>
        <w:br/>
        <w:t xml:space="preserve">    "E": 4,</w:t>
        <w:br/>
        <w:t xml:space="preserve">    "G": 1.44,</w:t>
        <w:br/>
        <w:t xml:space="preserve">    "nu": 0.38</w:t>
        <w:br/>
        <w:t xml:space="preserve">  },</w:t>
        <w:br/>
        <w:t xml:space="preserve">  "volumeFractions": [</w:t>
        <w:br/>
        <w:t xml:space="preserve">    0.375,</w:t>
        <w:br/>
        <w:t xml:space="preserve">    0.733,</w:t>
        <w:br/>
        <w:t xml:space="preserve">    0.8</w:t>
        <w:br/>
        <w:t xml:space="preserve">  ],</w:t>
        <w:br/>
        <w:t xml:space="preserve">  "voidFraction": 0,</w:t>
        <w:br/>
        <w:t xml:space="preserve">  "model": "Halpin–Tsai model"</w:t>
        <w:br/>
        <w:t>}</w:t>
      </w:r>
    </w:p>
    <w:p>
      <w:pPr/>
      <w:hyperlink r:id="rId24">
        <w:r>
          <w:rPr>
            <w:color w:val="176EA4"/>
          </w:rPr>
          <w:t>Download source-validation evidence (JSON)</w:t>
        </w:r>
      </w:hyperlink>
      <w:r>
        <w:t xml:space="preserve"> </w:t>
      </w:r>
      <w:r>
        <w:rPr>
          <w:b w:val="0"/>
          <w:i w:val="0"/>
        </w:rPr>
        <w:t xml:space="preserve"> · </w:t>
      </w:r>
      <w:hyperlink r:id="rId25">
        <w:r>
          <w:rPr>
            <w:color w:val="176EA4"/>
          </w:rPr>
          <w:t>Full 104 -exercise study</w:t>
        </w:r>
      </w:hyperlink>
      <w:r>
        <w:t xml:space="preserve"> </w:t>
      </w:r>
    </w:p>
    <w:p>
      <w:pPr>
        <w:pStyle w:val="Heading3"/>
      </w:pPr>
      <w:r>
        <w:t>Prepare the study</w:t>
      </w:r>
    </w:p>
    <w:p>
      <w:pPr>
        <w:pStyle w:val="ListBullet"/>
      </w:pPr>
      <w:r>
        <w:rPr>
          <w:b w:val="0"/>
          <w:i w:val="0"/>
        </w:rPr>
        <w:t>Open this exercise in Workbench. Confirm the selected simulation and follow the workflow arrows to its linked records.</w:t>
      </w:r>
    </w:p>
    <w:p>
      <w:pPr>
        <w:pStyle w:val="ListBullet"/>
      </w:pPr>
      <w:r>
        <w:rPr>
          <w:b w:val="0"/>
          <w:i w:val="0"/>
        </w:rPr>
        <w:t>Review the setup note, units, material sources and model limits below. Preserve shared reference records: duplicate a record before making an independent variation.</w:t>
      </w:r>
    </w:p>
    <w:p>
      <w:pPr>
        <w:pStyle w:val="ListBullet"/>
      </w:pPr>
      <w:r>
        <w:rPr>
          <w:b w:val="0"/>
          <w:i w:val="0"/>
        </w:rPr>
        <w:t>Check the connected input summary and any validation notices before running. A preview diagram is not a solved result.</w:t>
      </w:r>
    </w:p>
    <w:p>
      <w:pPr>
        <w:pStyle w:val="Heading3"/>
      </w:pPr>
      <w:r>
        <w:t>Complete the exercise</w:t>
      </w:r>
    </w:p>
    <w:p>
      <w:pPr>
        <w:pStyle w:val="ListBullet"/>
      </w:pPr>
      <w:r>
        <w:rPr>
          <w:b w:val="0"/>
          <w:i w:val="0"/>
        </w:rPr>
        <w:t>Open the linked web walkthrough and NASA/TM–2015-218814. Rename the copied constituents for this study; enter T700 E1/E2/G12 = 230/15/27 GPa, ν12 = 0.20 and density 1.80 g/cm³. Enter PR520 E/ν/G = 4.0 GPa/0.38/1.44 GPa and density 1.25 g/cm³. Preserve the research citation; do not substitute the starter resin properties.</w:t>
      </w:r>
    </w:p>
    <w:p>
      <w:pPr>
        <w:pStyle w:val="ListBullet"/>
      </w:pPr>
      <w:r>
        <w:rPr>
          <w:b w:val="0"/>
          <w:i w:val="0"/>
        </w:rPr>
        <w:t>Use continuous unidirectional micromechanics with zero voids. Evaluate Vf = 0.375, 0.733 and 0.800, holding every other input fixed. Save three copies or an optimization comparison.</w:t>
      </w:r>
    </w:p>
    <w:p>
      <w:pPr>
        <w:pStyle w:val="ListBullet"/>
      </w:pPr>
      <w:r>
        <w:rPr>
          <w:b w:val="0"/>
          <w:i w:val="0"/>
        </w:rPr>
        <w:t>Compare E1/E2/G12 against 88.5/6.22/2.60, 169.5/9.90/7.00 and 184.7/10.9/6.00 GPa respectively. Report 100 × (CDS − reference) / reference; compare another supported homogenization model.</w:t>
      </w:r>
    </w:p>
    <w:p>
      <w:pPr>
        <w:pStyle w:val="ListBullet"/>
      </w:pPr>
      <w:r>
        <w:rPr>
          <w:b w:val="0"/>
          <w:i w:val="0"/>
        </w:rPr>
        <w:t>Save the chosen predicted lamina and source links. Leave unsupported strength and transport data unavailable; do not carry over unrelated starter allowables.</w:t>
      </w:r>
    </w:p>
    <w:p>
      <w:pPr>
        <w:pStyle w:val="Heading3"/>
        <w:keepNext/>
      </w:pPr>
      <w:r>
        <w:t>Review checkpoints</w:t>
      </w:r>
    </w:p>
    <w:p>
      <w:pPr>
        <w:pStyle w:val="ListBullet"/>
      </w:pPr>
      <w:r>
        <w:rPr>
          <w:b w:val="0"/>
          <w:i w:val="0"/>
        </w:rPr>
        <w:t>Published MAC/GMC values are external comparison data, not exact acceptance targets for Halpin–Tsai.</w:t>
      </w:r>
    </w:p>
    <w:p>
      <w:pPr>
        <w:pStyle w:val="ListBullet"/>
      </w:pPr>
      <w:r>
        <w:rPr>
          <w:b w:val="0"/>
          <w:i w:val="0"/>
        </w:rPr>
        <w:t>Keep the three local fiber-volume regions separate; averaging braid subcells needs justification.</w:t>
      </w:r>
    </w:p>
    <w:p>
      <w:pPr>
        <w:pStyle w:val="Heading3"/>
      </w:pPr>
      <w:r>
        <w:t>Record your conclusion</w:t>
      </w:r>
    </w:p>
    <w:p>
      <w:pPr/>
      <w:r>
        <w:rPr>
          <w:b w:val="0"/>
          <w:i w:val="0"/>
        </w:rPr>
        <w:t>Save the study with its inputs and capture the relevant output plot or table, units, solver notices and the comparison requested above. State whether each checkpoint was met and explain discrepancies. Claim benchmark validation only where the source-validation panel explicitly supports it.</w:t>
      </w:r>
    </w:p>
    <w:p>
      <w:pPr/>
      <w:hyperlink r:id="rId26">
        <w:r>
          <w:rPr>
            <w:color w:val="176EA4"/>
          </w:rPr>
          <w:t>User Guide · operating the Workbench →</w:t>
        </w:r>
      </w:hyperlink>
      <w:r>
        <w:t xml:space="preserve"> </w:t>
      </w:r>
      <w:r>
        <w:rPr>
          <w:b w:val="0"/>
          <w:i w:val="0"/>
        </w:rPr>
        <w:t xml:space="preserve"> · </w:t>
      </w:r>
      <w:hyperlink r:id="rId27">
        <w:r>
          <w:rPr>
            <w:color w:val="176EA4"/>
          </w:rPr>
          <w:t>∑ Theory Manual · equations and assumptions →</w:t>
        </w:r>
      </w:hyperlink>
      <w:r>
        <w:t xml:space="preserve"> </w:t>
      </w:r>
    </w:p>
    <w:p>
      <w:pPr>
        <w:pStyle w:val="Heading3"/>
      </w:pPr>
      <w:r>
        <w:t>Model limits</w:t>
      </w:r>
    </w:p>
    <w:p>
      <w:pPr/>
      <w:r>
        <w:rPr>
          <w:b w:val="0"/>
          <w:i w:val="0"/>
        </w:rPr>
        <w:t>Constituent-to-lamina screening only. The NASA braid subcells, calibrated LS-DYNA damage and coupon validation are not reproduced.</w:t>
      </w:r>
    </w:p>
    <w:p>
      <w:pPr>
        <w:pStyle w:val="Heading3"/>
      </w:pPr>
      <w:r>
        <w:t>Reference material</w:t>
      </w:r>
    </w:p>
    <w:p>
      <w:pPr>
        <w:pStyle w:val="ListBullet"/>
      </w:pPr>
      <w:hyperlink r:id="rId28">
        <w:r>
          <w:rPr>
            <w:color w:val="176EA4"/>
          </w:rPr>
          <w:t>Related case study: NASA lamina analysis</w:t>
        </w:r>
      </w:hyperlink>
      <w:r>
        <w:t xml:space="preserve"> </w:t>
      </w:r>
    </w:p>
    <w:p>
      <w:pPr>
        <w:pStyle w:val="ListBullet"/>
      </w:pPr>
      <w:hyperlink r:id="rId29">
        <w:r>
          <w:rPr>
            <w:color w:val="176EA4"/>
          </w:rPr>
          <w:t>Edit material properties and units</w:t>
        </w:r>
      </w:hyperlink>
      <w:r>
        <w:t xml:space="preserve"> </w:t>
      </w:r>
    </w:p>
    <w:p>
      <w:pPr>
        <w:pStyle w:val="ListBullet"/>
      </w:pPr>
      <w:hyperlink r:id="rId30">
        <w:r>
          <w:rPr>
            <w:color w:val="176EA4"/>
          </w:rPr>
          <w:t>Create and connect a lamina</w:t>
        </w:r>
      </w:hyperlink>
      <w:r>
        <w:t xml:space="preserve"> </w:t>
      </w:r>
    </w:p>
    <w:p>
      <w:pPr>
        <w:pStyle w:val="ListBullet"/>
      </w:pPr>
      <w:hyperlink r:id="rId31">
        <w:r>
          <w:rPr>
            <w:color w:val="176EA4"/>
          </w:rPr>
          <w:t>Review effective properties</w:t>
        </w:r>
      </w:hyperlink>
      <w:r>
        <w:t xml:space="preserve"> </w:t>
      </w:r>
    </w:p>
    <w:p>
      <w:pPr>
        <w:pStyle w:val="ListBullet"/>
      </w:pPr>
      <w:hyperlink r:id="rId32">
        <w:r>
          <w:rPr>
            <w:color w:val="176EA4"/>
          </w:rPr>
          <w:t>Connected inputs and result freshness</w:t>
        </w:r>
      </w:hyperlink>
      <w:r>
        <w:t xml:space="preserve"> </w:t>
      </w:r>
    </w:p>
    <w:p>
      <w:pPr>
        <w:pStyle w:val="ListBullet"/>
      </w:pPr>
      <w:hyperlink r:id="rId33">
        <w:r>
          <w:rPr>
            <w:color w:val="176EA4"/>
          </w:rPr>
          <w:t>Run and review a model</w:t>
        </w:r>
      </w:hyperlink>
      <w:r>
        <w:t xml:space="preserve"> </w:t>
      </w:r>
    </w:p>
    <w:p>
      <w:pPr>
        <w:keepNext/>
      </w:pPr>
      <w:r>
        <w:rPr>
          <w:b/>
          <w:i w:val="0"/>
        </w:rPr>
        <w:t>How the shared curriculum works</w:t>
      </w:r>
    </w:p>
    <w:p>
      <w:pPr>
        <w:pStyle w:val="ListBullet"/>
      </w:pPr>
      <w:r>
        <w:rPr>
          <w:b w:val="0"/>
          <w:i w:val="0"/>
        </w:rPr>
        <w:t>Read the reference</w:t>
      </w:r>
    </w:p>
    <w:p>
      <w:pPr>
        <w:pStyle w:val="ListBullet"/>
      </w:pPr>
      <w:r>
        <w:rPr>
          <w:b w:val="0"/>
          <w:i w:val="0"/>
        </w:rPr>
        <w:t>Select an exercise from the shared CDS database</w:t>
      </w:r>
    </w:p>
    <w:p>
      <w:pPr>
        <w:pStyle w:val="ListBullet"/>
      </w:pPr>
      <w:r>
        <w:rPr>
          <w:b w:val="0"/>
          <w:i w:val="0"/>
        </w:rPr>
        <w:t>Trace inputs in Simulation</w:t>
      </w:r>
    </w:p>
    <w:p>
      <w:pPr>
        <w:pStyle w:val="ListBullet"/>
      </w:pPr>
      <w:r>
        <w:rPr>
          <w:b w:val="0"/>
          <w:i w:val="0"/>
        </w:rPr>
        <w:t>Run and inspect fields</w:t>
      </w:r>
    </w:p>
    <w:p>
      <w:pPr>
        <w:pStyle w:val="ListBullet"/>
      </w:pPr>
      <w:r>
        <w:rPr>
          <w:b w:val="0"/>
          <w:i w:val="0"/>
        </w:rPr>
        <w:t>Compare checkpoints and record limits</w:t>
      </w:r>
    </w:p>
    <w:p>
      <w:pPr/>
      <w:r>
        <w:rPr>
          <w:b w:val="0"/>
          <w:i w:val="0"/>
        </w:rPr>
        <w:t>SIMULATION selects the Thermal, Moisture, Mechanical and EM cases to run, with None available in each slot. Geometry owns shared specimen dimensions; Laminate owns plies and thickness. Each case owns one analysis model, its applied conditions and its applicable cycle; there is no separate Process block. Surrounding blocks manage available records. Run updates results; completed does not mean validated or passed.</w:t>
      </w:r>
    </w:p>
    <w:p>
      <w:pPr/>
      <w:r>
        <w:rPr>
          <w:b w:val="0"/>
          <w:i w:val="0"/>
        </w:rPr>
        <w:t xml:space="preserve">All </w:t>
      </w:r>
      <w:r>
        <w:rPr>
          <w:b w:val="0"/>
          <w:i w:val="0"/>
        </w:rPr>
        <w:t xml:space="preserve"> </w:t>
      </w:r>
      <w:r>
        <w:rPr>
          <w:b w:val="0"/>
          <w:i w:val="0"/>
        </w:rPr>
        <w:t>104</w:t>
      </w:r>
      <w:r>
        <w:rPr>
          <w:b w:val="0"/>
          <w:i w:val="0"/>
        </w:rPr>
        <w:t xml:space="preserve"> </w:t>
      </w:r>
      <w:r>
        <w:rPr>
          <w:b w:val="0"/>
          <w:i w:val="0"/>
        </w:rPr>
        <w:t xml:space="preserve"> exercises select connected records from one shared default database. Opening an exercise does not add duplicate materials. Changes to shared records affect studies using them; duplicate a record for an independent variation. Downloads provide self-contained subsets of that database and require sign-in and an active CDS license. Exercise links open the matching guide; they do not run a solver or replace your database. Historical files remain in a separate portal archive.</w:t>
      </w:r>
    </w:p>
    <w:p>
      <w:pPr/>
      <w:r>
        <w:rPr>
          <w:b w:val="0"/>
          <w:i w:val="0"/>
        </w:rPr>
        <w:t xml:space="preserve">Catalogue revision </w:t>
      </w:r>
      <w:r>
        <w:rPr>
          <w:b w:val="0"/>
          <w:i w:val="0"/>
        </w:rPr>
        <w:t xml:space="preserve"> </w:t>
      </w:r>
      <w:r>
        <w:rPr>
          <w:b w:val="0"/>
          <w:i w:val="0"/>
        </w:rPr>
        <w:t>2026-09-09</w:t>
      </w:r>
      <w:r>
        <w:rPr>
          <w:b w:val="0"/>
          <w:i w:val="0"/>
        </w:rPr>
        <w:t xml:space="preserve"> </w:t>
      </w:r>
      <w:r>
        <w:rPr>
          <w:b w:val="0"/>
          <w:i w:val="0"/>
        </w:rPr>
        <w:t>. Source-data case studies require the setup and calibration described in their guides.</w:t>
      </w:r>
    </w:p>
    <w:p>
      <w:bookmarkStart w:id="2" w:name="chapter_2"/>
      <w:pPr>
        <w:pStyle w:val="Heading1"/>
        <w:pageBreakBefore/>
      </w:pPr>
      <w:r>
        <w:t>2 Predict T700/PR520 effective lamina properties</w:t>
      </w:r>
      <w:bookmarkEnd w:id="2"/>
    </w:p>
    <w:p>
      <w:pPr>
        <w:pStyle w:val="Caption"/>
      </w:pPr>
      <w:hyperlink r:id="rId34">
        <w:r>
          <w:rPr>
            <w:color w:val="176EA4"/>
          </w:rPr>
          <w:t>Online chapter</w:t>
        </w:r>
      </w:hyperlink>
      <w:r>
        <w:t xml:space="preserve"> </w:t>
      </w:r>
    </w:p>
    <w:p>
      <w:pPr/>
      <w:r>
        <w:rPr>
          <w:b w:val="0"/>
          <w:i w:val="0"/>
        </w:rPr>
        <w:t>A bottom-up micromechanics study using constituent values and three fiber-volume regions published for a NASA triaxial-braid model.</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pStyle w:val="Caption"/>
      </w:pPr>
      <w:r>
        <w:rPr>
          <w:b w:val="0"/>
          <w:i w:val="0"/>
        </w:rPr>
        <w:t xml:space="preserve">Two-row simulation workflow · </w:t>
      </w:r>
      <w:hyperlink r:id="rId16">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2" name="Picture 2" descr="Predict T700/PR520 effective lamina properties. two-row simulation workflow with connected input blocks, fatigue and optimization"/>
            <wp:cNvGraphicFramePr>
              <a:graphicFrameLocks noChangeAspect="1"/>
            </wp:cNvGraphicFramePr>
            <a:graphic>
              <a:graphicData uri="http://schemas.openxmlformats.org/drawingml/2006/picture">
                <pic:pic>
                  <pic:nvPicPr>
                    <pic:cNvPr id="0" name="rsvg-48de5823760dc84efc6f9c4b2a5e55e15ddddf433c12451f40cb07ecd5c1975f.png"/>
                    <pic:cNvPicPr/>
                  </pic:nvPicPr>
                  <pic:blipFill>
                    <a:blip r:embed="rId17"/>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CLT · Linear static with failure indices</w:t>
      </w:r>
      <w:r>
        <w:rPr>
          <w:b/>
          <w:i w:val="0"/>
        </w:rPr>
        <w:t xml:space="preserve"> </w:t>
      </w:r>
      <w:r>
        <w:rPr>
          <w:b/>
          <w:i w:val="0"/>
        </w:rPr>
        <w:t xml:space="preserve"> · </w:t>
      </w:r>
      <w:r>
        <w:rPr>
          <w:b/>
          <w:i w:val="0"/>
        </w:rPr>
        <w:t xml:space="preserve"> </w:t>
      </w:r>
      <w:r>
        <w:rPr>
          <w:b/>
          <w:i w:val="0"/>
        </w:rPr>
        <w:t>Plate — Nx Static Validation · Unidirectional lamina</w:t>
      </w:r>
    </w:p>
    <w:p>
      <w:pPr/>
      <w:r>
        <w:rPr>
          <w:b w:val="0"/>
          <w:i w:val="0"/>
        </w:rPr>
        <w:t>Shared laminate stiffness drives this membrane/CLT path. Failure criteria are independent comparisons, not blended models. Fatigue is a separate assessment.</w:t>
      </w:r>
    </w:p>
    <w:p>
      <w:pPr>
        <w:keepNext/>
      </w:pPr>
      <w:r>
        <w:rPr>
          <w:b/>
          <w:i w:val="0"/>
        </w:rPr>
        <w:t>Failure criterion · Maximum stress</w:t>
      </w:r>
    </w:p>
    <w:p>
      <w:pPr/>
      <w:r>
        <w:rPr>
          <w:b w:val="0"/>
          <w:i w:val="0"/>
        </w:rPr>
        <w:t>Primary criterion. Additional envelope comparisons are chosen in Response → Failure; they run independently.</w:t>
      </w:r>
    </w:p>
    <w:p>
      <w:hyperlink r:id="rId20">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Geometry</w:t>
      </w:r>
      <w:r>
        <w:rPr>
          <w:b/>
          <w:i w:val="0"/>
        </w:rPr>
        <w:t xml:space="preserve"> </w:t>
      </w:r>
      <w:r>
        <w:rPr>
          <w:b/>
          <w:i w:val="0"/>
        </w:rPr>
        <w:t xml:space="preserve"> → </w:t>
      </w:r>
      <w:r>
        <w:rPr>
          <w:b/>
          <w:i w:val="0"/>
        </w:rPr>
        <w:t xml:space="preserve"> </w:t>
      </w:r>
      <w:r>
        <w:rPr>
          <w:b/>
          <w:i w:val="0"/>
        </w:rPr>
        <w:t>Mechanical</w:t>
      </w:r>
      <w:r>
        <w:br/>
      </w:r>
      <w:r>
        <w:rPr>
          <w:b w:val="0"/>
          <w:i w:val="0"/>
        </w:rPr>
        <w:t>Shape and dimensions for the selected structural analysis.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copied T700/EP180 database is a connected starter, not T700/PR520. Complete the constituent setup below before comparing with NASA.</w:t>
      </w:r>
    </w:p>
    <w:p>
      <w:pPr>
        <w:pStyle w:val="ListBullet"/>
      </w:pPr>
      <w:hyperlink r:id="rId23">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pStyle w:val="Heading3"/>
      </w:pPr>
      <w:r>
        <w:t>Tested inputs</w:t>
      </w:r>
    </w:p>
    <w:p>
      <w:pPr/>
      <w:r>
        <w:rPr>
          <w:b w:val="0"/>
          <w:i w:val="0"/>
        </w:rPr>
        <w:t xml:space="preserve">Input SHA-256: </w:t>
      </w:r>
      <w:r>
        <w:rPr>
          <w:b w:val="0"/>
          <w:i w:val="0"/>
        </w:rPr>
        <w:t xml:space="preserve"> </w:t>
      </w:r>
      <w:r>
        <w:rPr>
          <w:b w:val="0"/>
          <w:i w:val="0"/>
        </w:rPr>
        <w:t>f332a9c41bf7dc1aaa5eb2521be80c1e6feeef085db48ea61d81a3475b42b7b9</w:t>
      </w:r>
      <w:r>
        <w:br/>
      </w:r>
      <w:r>
        <w:rPr>
          <w:b w:val="0"/>
          <w:i w:val="0"/>
        </w:rPr>
        <w:t xml:space="preserve">Solver source SHA-256: </w:t>
      </w:r>
      <w:r>
        <w:rPr>
          <w:b w:val="0"/>
          <w:i w:val="0"/>
        </w:rPr>
        <w:t xml:space="preserve"> </w:t>
      </w:r>
      <w:r>
        <w:rPr>
          <w:b w:val="0"/>
          <w:i w:val="0"/>
        </w:rPr>
        <w:t>30c8a614b6cb004a26da8adaf8ab7c534c37c4d534836921939f35a549e1bcc5</w:t>
      </w:r>
    </w:p>
    <w:p>
      <w:pPr>
        <w:pStyle w:val="ListBullet"/>
      </w:pPr>
      <w:r>
        <w:rPr>
          <w:b w:val="0"/>
          <w:i w:val="0"/>
        </w:rPr>
        <w:t>Constituent-to-lamina screening only. The NASA braid subcells, calibrated LS-DYNA damage and coupon validation are not reproduced.</w:t>
      </w:r>
    </w:p>
    <w:p>
      <w:pPr>
        <w:keepNext/>
      </w:pPr>
      <w:r>
        <w:rPr>
          <w:b/>
          <w:i w:val="0"/>
        </w:rPr>
        <w:t xml:space="preserve">Separate published-data fixture: </w:t>
      </w:r>
      <w:r>
        <w:rPr>
          <w:b/>
          <w:i w:val="0"/>
        </w:rPr>
        <w:t xml:space="preserve"> </w:t>
      </w:r>
      <w:r>
        <w:rPr>
          <w:b/>
          <w:i w:val="0"/>
        </w:rPr>
        <w:t>Benchmark discrepancy</w:t>
      </w:r>
    </w:p>
    <w:p>
      <w:pPr/>
      <w:r>
        <w:rPr>
          <w:b w:val="0"/>
          <w:i w:val="0"/>
        </w:rPr>
        <w:t>Source-matched constituent fixture compared with NASA MAC/GMC, 1% exploratory equivalence criterion declared before running. A different homogenization model need not match; mismatch is retained, not fitted away.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E1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88.75</w:t>
            </w:r>
          </w:p>
        </w:tc>
        <w:tc>
          <w:tcPr>
            <w:tcW w:type="dxa" w:w="1632"/>
            <w:vAlign w:val="center"/>
            <w:shd w:fill="FFFFFF"/>
          </w:tcPr>
          <w:p>
            <w:pPr>
              <w:spacing w:after="100" w:before="100"/>
            </w:pPr>
            <w:r>
              <w:rPr>
                <w:b w:val="0"/>
                <w:i w:val="0"/>
                <w:sz w:val="18"/>
              </w:rPr>
              <w:t>88.5</w:t>
            </w:r>
          </w:p>
        </w:tc>
        <w:tc>
          <w:tcPr>
            <w:tcW w:type="dxa" w:w="1632"/>
            <w:vAlign w:val="center"/>
            <w:shd w:fill="FFFFFF"/>
          </w:tcPr>
          <w:p>
            <w:pPr>
              <w:spacing w:after="100" w:before="100"/>
            </w:pPr>
            <w:r>
              <w:rPr>
                <w:b w:val="0"/>
                <w:i w:val="0"/>
                <w:sz w:val="18"/>
              </w:rPr>
              <w:t>0.2824859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5.51724</w:t>
            </w:r>
          </w:p>
        </w:tc>
        <w:tc>
          <w:tcPr>
            <w:tcW w:type="dxa" w:w="1632"/>
            <w:vAlign w:val="center"/>
            <w:shd w:fill="FFFFFF"/>
          </w:tcPr>
          <w:p>
            <w:pPr>
              <w:spacing w:after="100" w:before="100"/>
            </w:pPr>
            <w:r>
              <w:rPr>
                <w:b w:val="0"/>
                <w:i w:val="0"/>
                <w:sz w:val="18"/>
              </w:rPr>
              <w:t>6.22</w:t>
            </w:r>
          </w:p>
        </w:tc>
        <w:tc>
          <w:tcPr>
            <w:tcW w:type="dxa" w:w="1632"/>
            <w:vAlign w:val="center"/>
            <w:shd w:fill="FFFFFF"/>
          </w:tcPr>
          <w:p>
            <w:pPr>
              <w:spacing w:after="100" w:before="100"/>
            </w:pPr>
            <w:r>
              <w:rPr>
                <w:b w:val="0"/>
                <w:i w:val="0"/>
                <w:sz w:val="18"/>
              </w:rPr>
              <w:t>-11.29839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2.23256</w:t>
            </w:r>
          </w:p>
        </w:tc>
        <w:tc>
          <w:tcPr>
            <w:tcW w:type="dxa" w:w="1632"/>
            <w:vAlign w:val="center"/>
            <w:shd w:fill="FFFFFF"/>
          </w:tcPr>
          <w:p>
            <w:pPr>
              <w:spacing w:after="100" w:before="100"/>
            </w:pPr>
            <w:r>
              <w:rPr>
                <w:b w:val="0"/>
                <w:i w:val="0"/>
                <w:sz w:val="18"/>
              </w:rPr>
              <w:t>2.6</w:t>
            </w:r>
          </w:p>
        </w:tc>
        <w:tc>
          <w:tcPr>
            <w:tcW w:type="dxa" w:w="1632"/>
            <w:vAlign w:val="center"/>
            <w:shd w:fill="FFFFFF"/>
          </w:tcPr>
          <w:p>
            <w:pPr>
              <w:spacing w:after="100" w:before="100"/>
            </w:pPr>
            <w:r>
              <w:rPr>
                <w:b w:val="0"/>
                <w:i w:val="0"/>
                <w:sz w:val="18"/>
              </w:rPr>
              <w:t>-14.13231</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169.658</w:t>
            </w:r>
          </w:p>
        </w:tc>
        <w:tc>
          <w:tcPr>
            <w:tcW w:type="dxa" w:w="1632"/>
            <w:vAlign w:val="center"/>
            <w:shd w:fill="FFFFFF"/>
          </w:tcPr>
          <w:p>
            <w:pPr>
              <w:spacing w:after="100" w:before="100"/>
            </w:pPr>
            <w:r>
              <w:rPr>
                <w:b w:val="0"/>
                <w:i w:val="0"/>
                <w:sz w:val="18"/>
              </w:rPr>
              <w:t>169.5</w:t>
            </w:r>
          </w:p>
        </w:tc>
        <w:tc>
          <w:tcPr>
            <w:tcW w:type="dxa" w:w="1632"/>
            <w:vAlign w:val="center"/>
            <w:shd w:fill="FFFFFF"/>
          </w:tcPr>
          <w:p>
            <w:pPr>
              <w:spacing w:after="100" w:before="100"/>
            </w:pPr>
            <w:r>
              <w:rPr>
                <w:b w:val="0"/>
                <w:i w:val="0"/>
                <w:sz w:val="18"/>
              </w:rPr>
              <w:t>0.09321534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8.64927</w:t>
            </w:r>
          </w:p>
        </w:tc>
        <w:tc>
          <w:tcPr>
            <w:tcW w:type="dxa" w:w="1632"/>
            <w:vAlign w:val="center"/>
            <w:shd w:fill="FFFFFF"/>
          </w:tcPr>
          <w:p>
            <w:pPr>
              <w:spacing w:after="100" w:before="100"/>
            </w:pPr>
            <w:r>
              <w:rPr>
                <w:b w:val="0"/>
                <w:i w:val="0"/>
                <w:sz w:val="18"/>
              </w:rPr>
              <w:t>9.9</w:t>
            </w:r>
          </w:p>
        </w:tc>
        <w:tc>
          <w:tcPr>
            <w:tcW w:type="dxa" w:w="1632"/>
            <w:vAlign w:val="center"/>
            <w:shd w:fill="FFFFFF"/>
          </w:tcPr>
          <w:p>
            <w:pPr>
              <w:spacing w:after="100" w:before="100"/>
            </w:pPr>
            <w:r>
              <w:rPr>
                <w:b w:val="0"/>
                <w:i w:val="0"/>
                <w:sz w:val="18"/>
              </w:rPr>
              <w:t>-12.63364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4.70445</w:t>
            </w:r>
          </w:p>
        </w:tc>
        <w:tc>
          <w:tcPr>
            <w:tcW w:type="dxa" w:w="1632"/>
            <w:vAlign w:val="center"/>
            <w:shd w:fill="FFFFFF"/>
          </w:tcPr>
          <w:p>
            <w:pPr>
              <w:spacing w:after="100" w:before="100"/>
            </w:pPr>
            <w:r>
              <w:rPr>
                <w:b w:val="0"/>
                <w:i w:val="0"/>
                <w:sz w:val="18"/>
              </w:rPr>
              <w:t>7</w:t>
            </w:r>
          </w:p>
        </w:tc>
        <w:tc>
          <w:tcPr>
            <w:tcW w:type="dxa" w:w="1632"/>
            <w:vAlign w:val="center"/>
            <w:shd w:fill="FFFFFF"/>
          </w:tcPr>
          <w:p>
            <w:pPr>
              <w:spacing w:after="100" w:before="100"/>
            </w:pPr>
            <w:r>
              <w:rPr>
                <w:b w:val="0"/>
                <w:i w:val="0"/>
                <w:sz w:val="18"/>
              </w:rPr>
              <w:t>-32.79357</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184.8</w:t>
            </w:r>
          </w:p>
        </w:tc>
        <w:tc>
          <w:tcPr>
            <w:tcW w:type="dxa" w:w="1632"/>
            <w:vAlign w:val="center"/>
            <w:shd w:fill="FFFFFF"/>
          </w:tcPr>
          <w:p>
            <w:pPr>
              <w:spacing w:after="100" w:before="100"/>
            </w:pPr>
            <w:r>
              <w:rPr>
                <w:b w:val="0"/>
                <w:i w:val="0"/>
                <w:sz w:val="18"/>
              </w:rPr>
              <w:t>184.7</w:t>
            </w:r>
          </w:p>
        </w:tc>
        <w:tc>
          <w:tcPr>
            <w:tcW w:type="dxa" w:w="1632"/>
            <w:vAlign w:val="center"/>
            <w:shd w:fill="FFFFFF"/>
          </w:tcPr>
          <w:p>
            <w:pPr>
              <w:spacing w:after="100" w:before="100"/>
            </w:pPr>
            <w:r>
              <w:rPr>
                <w:b w:val="0"/>
                <w:i w:val="0"/>
                <w:sz w:val="18"/>
              </w:rPr>
              <w:t>0.05414185</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9.67742</w:t>
            </w:r>
          </w:p>
        </w:tc>
        <w:tc>
          <w:tcPr>
            <w:tcW w:type="dxa" w:w="1632"/>
            <w:vAlign w:val="center"/>
            <w:shd w:fill="FFFFFF"/>
          </w:tcPr>
          <w:p>
            <w:pPr>
              <w:spacing w:after="100" w:before="100"/>
            </w:pPr>
            <w:r>
              <w:rPr>
                <w:b w:val="0"/>
                <w:i w:val="0"/>
                <w:sz w:val="18"/>
              </w:rPr>
              <w:t>10.9</w:t>
            </w:r>
          </w:p>
        </w:tc>
        <w:tc>
          <w:tcPr>
            <w:tcW w:type="dxa" w:w="1632"/>
            <w:vAlign w:val="center"/>
            <w:shd w:fill="FFFFFF"/>
          </w:tcPr>
          <w:p>
            <w:pPr>
              <w:spacing w:after="100" w:before="100"/>
            </w:pPr>
            <w:r>
              <w:rPr>
                <w:b w:val="0"/>
                <w:i w:val="0"/>
                <w:sz w:val="18"/>
              </w:rPr>
              <w:t>-11.21633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5.93407</w:t>
            </w:r>
          </w:p>
        </w:tc>
        <w:tc>
          <w:tcPr>
            <w:tcW w:type="dxa" w:w="1632"/>
            <w:vAlign w:val="center"/>
            <w:shd w:fill="FFFFFF"/>
          </w:tcPr>
          <w:p>
            <w:pPr>
              <w:spacing w:after="100" w:before="100"/>
            </w:pPr>
            <w:r>
              <w:rPr>
                <w:b w:val="0"/>
                <w:i w:val="0"/>
                <w:sz w:val="18"/>
              </w:rPr>
              <w:t>6</w:t>
            </w:r>
          </w:p>
        </w:tc>
        <w:tc>
          <w:tcPr>
            <w:tcW w:type="dxa" w:w="1632"/>
            <w:vAlign w:val="center"/>
            <w:shd w:fill="FFFFFF"/>
          </w:tcPr>
          <w:p>
            <w:pPr>
              <w:spacing w:after="100" w:before="100"/>
            </w:pPr>
            <w:r>
              <w:rPr>
                <w:b w:val="0"/>
                <w:i w:val="0"/>
                <w:sz w:val="18"/>
              </w:rPr>
              <w:t>-1.098833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bl>
    <w:p>
      <w:pPr>
        <w:spacing w:after="0"/>
      </w:pPr>
    </w:p>
    <w:p>
      <w:pPr>
        <w:pStyle w:val="ListBullet"/>
      </w:pPr>
      <w:hyperlink r:id="rId23">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keepNext/>
      </w:pPr>
      <w:r>
        <w:rPr>
          <w:b/>
          <w:i w:val="0"/>
        </w:rPr>
        <w:t>Fixture inputs</w:t>
      </w:r>
    </w:p>
    <w:p>
      <w:pPr>
        <w:pStyle w:val="Caption"/>
      </w:pPr>
      <w:r>
        <w:t>{</w:t>
        <w:br/>
        <w:t xml:space="preserve">  "fiber": {</w:t>
        <w:br/>
        <w:t xml:space="preserve">    "E1": 230,</w:t>
        <w:br/>
        <w:t xml:space="preserve">    "E2": 15,</w:t>
        <w:br/>
        <w:t xml:space="preserve">    "G12": 27,</w:t>
        <w:br/>
        <w:t xml:space="preserve">    "nu12": 0.2</w:t>
        <w:br/>
        <w:t xml:space="preserve">  },</w:t>
        <w:br/>
        <w:t xml:space="preserve">  "matrix": {</w:t>
        <w:br/>
        <w:t xml:space="preserve">    "E": 4,</w:t>
        <w:br/>
        <w:t xml:space="preserve">    "G": 1.44,</w:t>
        <w:br/>
        <w:t xml:space="preserve">    "nu": 0.38</w:t>
        <w:br/>
        <w:t xml:space="preserve">  },</w:t>
        <w:br/>
        <w:t xml:space="preserve">  "volumeFractions": [</w:t>
        <w:br/>
        <w:t xml:space="preserve">    0.375,</w:t>
        <w:br/>
        <w:t xml:space="preserve">    0.733,</w:t>
        <w:br/>
        <w:t xml:space="preserve">    0.8</w:t>
        <w:br/>
        <w:t xml:space="preserve">  ],</w:t>
        <w:br/>
        <w:t xml:space="preserve">  "voidFraction": 0,</w:t>
        <w:br/>
        <w:t xml:space="preserve">  "model": "Rule of mixtures"</w:t>
        <w:br/>
        <w:t>}</w:t>
      </w:r>
    </w:p>
    <w:p>
      <w:pPr>
        <w:keepNext/>
      </w:pPr>
      <w:r>
        <w:rPr>
          <w:b/>
          <w:i w:val="0"/>
        </w:rPr>
        <w:t xml:space="preserve">Separate published-data fixture: </w:t>
      </w:r>
      <w:r>
        <w:rPr>
          <w:b/>
          <w:i w:val="0"/>
        </w:rPr>
        <w:t xml:space="preserve"> </w:t>
      </w:r>
      <w:r>
        <w:rPr>
          <w:b/>
          <w:i w:val="0"/>
        </w:rPr>
        <w:t>Benchmark discrepancy</w:t>
      </w:r>
    </w:p>
    <w:p>
      <w:pPr/>
      <w:r>
        <w:rPr>
          <w:b w:val="0"/>
          <w:i w:val="0"/>
        </w:rPr>
        <w:t>Source-matched constituent fixture compared with NASA MAC/GMC, 1% exploratory equivalence criterion declared before running. A different homogenization model need not match; mismatch is retained, not fitted away.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E1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88.75</w:t>
            </w:r>
          </w:p>
        </w:tc>
        <w:tc>
          <w:tcPr>
            <w:tcW w:type="dxa" w:w="1632"/>
            <w:vAlign w:val="center"/>
            <w:shd w:fill="FFFFFF"/>
          </w:tcPr>
          <w:p>
            <w:pPr>
              <w:spacing w:after="100" w:before="100"/>
            </w:pPr>
            <w:r>
              <w:rPr>
                <w:b w:val="0"/>
                <w:i w:val="0"/>
                <w:sz w:val="18"/>
              </w:rPr>
              <w:t>88.5</w:t>
            </w:r>
          </w:p>
        </w:tc>
        <w:tc>
          <w:tcPr>
            <w:tcW w:type="dxa" w:w="1632"/>
            <w:vAlign w:val="center"/>
            <w:shd w:fill="FFFFFF"/>
          </w:tcPr>
          <w:p>
            <w:pPr>
              <w:spacing w:after="100" w:before="100"/>
            </w:pPr>
            <w:r>
              <w:rPr>
                <w:b w:val="0"/>
                <w:i w:val="0"/>
                <w:sz w:val="18"/>
              </w:rPr>
              <w:t>0.2824859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6.62252</w:t>
            </w:r>
          </w:p>
        </w:tc>
        <w:tc>
          <w:tcPr>
            <w:tcW w:type="dxa" w:w="1632"/>
            <w:vAlign w:val="center"/>
            <w:shd w:fill="FFFFFF"/>
          </w:tcPr>
          <w:p>
            <w:pPr>
              <w:spacing w:after="100" w:before="100"/>
            </w:pPr>
            <w:r>
              <w:rPr>
                <w:b w:val="0"/>
                <w:i w:val="0"/>
                <w:sz w:val="18"/>
              </w:rPr>
              <w:t>6.22</w:t>
            </w:r>
          </w:p>
        </w:tc>
        <w:tc>
          <w:tcPr>
            <w:tcW w:type="dxa" w:w="1632"/>
            <w:vAlign w:val="center"/>
            <w:shd w:fill="FFFFFF"/>
          </w:tcPr>
          <w:p>
            <w:pPr>
              <w:spacing w:after="100" w:before="100"/>
            </w:pPr>
            <w:r>
              <w:rPr>
                <w:b w:val="0"/>
                <w:i w:val="0"/>
                <w:sz w:val="18"/>
              </w:rPr>
              <w:t>6.471383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2.90406</w:t>
            </w:r>
          </w:p>
        </w:tc>
        <w:tc>
          <w:tcPr>
            <w:tcW w:type="dxa" w:w="1632"/>
            <w:vAlign w:val="center"/>
            <w:shd w:fill="FFFFFF"/>
          </w:tcPr>
          <w:p>
            <w:pPr>
              <w:spacing w:after="100" w:before="100"/>
            </w:pPr>
            <w:r>
              <w:rPr>
                <w:b w:val="0"/>
                <w:i w:val="0"/>
                <w:sz w:val="18"/>
              </w:rPr>
              <w:t>2.6</w:t>
            </w:r>
          </w:p>
        </w:tc>
        <w:tc>
          <w:tcPr>
            <w:tcW w:type="dxa" w:w="1632"/>
            <w:vAlign w:val="center"/>
            <w:shd w:fill="FFFFFF"/>
          </w:tcPr>
          <w:p>
            <w:pPr>
              <w:spacing w:after="100" w:before="100"/>
            </w:pPr>
            <w:r>
              <w:rPr>
                <w:b w:val="0"/>
                <w:i w:val="0"/>
                <w:sz w:val="18"/>
              </w:rPr>
              <w:t>11.69462</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169.658</w:t>
            </w:r>
          </w:p>
        </w:tc>
        <w:tc>
          <w:tcPr>
            <w:tcW w:type="dxa" w:w="1632"/>
            <w:vAlign w:val="center"/>
            <w:shd w:fill="FFFFFF"/>
          </w:tcPr>
          <w:p>
            <w:pPr>
              <w:spacing w:after="100" w:before="100"/>
            </w:pPr>
            <w:r>
              <w:rPr>
                <w:b w:val="0"/>
                <w:i w:val="0"/>
                <w:sz w:val="18"/>
              </w:rPr>
              <w:t>169.5</w:t>
            </w:r>
          </w:p>
        </w:tc>
        <w:tc>
          <w:tcPr>
            <w:tcW w:type="dxa" w:w="1632"/>
            <w:vAlign w:val="center"/>
            <w:shd w:fill="FFFFFF"/>
          </w:tcPr>
          <w:p>
            <w:pPr>
              <w:spacing w:after="100" w:before="100"/>
            </w:pPr>
            <w:r>
              <w:rPr>
                <w:b w:val="0"/>
                <w:i w:val="0"/>
                <w:sz w:val="18"/>
              </w:rPr>
              <w:t>0.09321534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10.47761</w:t>
            </w:r>
          </w:p>
        </w:tc>
        <w:tc>
          <w:tcPr>
            <w:tcW w:type="dxa" w:w="1632"/>
            <w:vAlign w:val="center"/>
            <w:shd w:fill="FFFFFF"/>
          </w:tcPr>
          <w:p>
            <w:pPr>
              <w:spacing w:after="100" w:before="100"/>
            </w:pPr>
            <w:r>
              <w:rPr>
                <w:b w:val="0"/>
                <w:i w:val="0"/>
                <w:sz w:val="18"/>
              </w:rPr>
              <w:t>9.9</w:t>
            </w:r>
          </w:p>
        </w:tc>
        <w:tc>
          <w:tcPr>
            <w:tcW w:type="dxa" w:w="1632"/>
            <w:vAlign w:val="center"/>
            <w:shd w:fill="FFFFFF"/>
          </w:tcPr>
          <w:p>
            <w:pPr>
              <w:spacing w:after="100" w:before="100"/>
            </w:pPr>
            <w:r>
              <w:rPr>
                <w:b w:val="0"/>
                <w:i w:val="0"/>
                <w:sz w:val="18"/>
              </w:rPr>
              <w:t>5.834444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7.00011</w:t>
            </w:r>
          </w:p>
        </w:tc>
        <w:tc>
          <w:tcPr>
            <w:tcW w:type="dxa" w:w="1632"/>
            <w:vAlign w:val="center"/>
            <w:shd w:fill="FFFFFF"/>
          </w:tcPr>
          <w:p>
            <w:pPr>
              <w:spacing w:after="100" w:before="100"/>
            </w:pPr>
            <w:r>
              <w:rPr>
                <w:b w:val="0"/>
                <w:i w:val="0"/>
                <w:sz w:val="18"/>
              </w:rPr>
              <w:t>7</w:t>
            </w:r>
          </w:p>
        </w:tc>
        <w:tc>
          <w:tcPr>
            <w:tcW w:type="dxa" w:w="1632"/>
            <w:vAlign w:val="center"/>
            <w:shd w:fill="FFFFFF"/>
          </w:tcPr>
          <w:p>
            <w:pPr>
              <w:spacing w:after="100" w:before="100"/>
            </w:pPr>
            <w:r>
              <w:rPr>
                <w:b w:val="0"/>
                <w:i w:val="0"/>
                <w:sz w:val="18"/>
              </w:rPr>
              <w:t>0.001571429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E1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184.8</w:t>
            </w:r>
          </w:p>
        </w:tc>
        <w:tc>
          <w:tcPr>
            <w:tcW w:type="dxa" w:w="1632"/>
            <w:vAlign w:val="center"/>
            <w:shd w:fill="FFFFFF"/>
          </w:tcPr>
          <w:p>
            <w:pPr>
              <w:spacing w:after="100" w:before="100"/>
            </w:pPr>
            <w:r>
              <w:rPr>
                <w:b w:val="0"/>
                <w:i w:val="0"/>
                <w:sz w:val="18"/>
              </w:rPr>
              <w:t>184.7</w:t>
            </w:r>
          </w:p>
        </w:tc>
        <w:tc>
          <w:tcPr>
            <w:tcW w:type="dxa" w:w="1632"/>
            <w:vAlign w:val="center"/>
            <w:shd w:fill="FFFFFF"/>
          </w:tcPr>
          <w:p>
            <w:pPr>
              <w:spacing w:after="100" w:before="100"/>
            </w:pPr>
            <w:r>
              <w:rPr>
                <w:b w:val="0"/>
                <w:i w:val="0"/>
                <w:sz w:val="18"/>
              </w:rPr>
              <w:t>0.05414185</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11.43662</w:t>
            </w:r>
          </w:p>
        </w:tc>
        <w:tc>
          <w:tcPr>
            <w:tcW w:type="dxa" w:w="1632"/>
            <w:vAlign w:val="center"/>
            <w:shd w:fill="FFFFFF"/>
          </w:tcPr>
          <w:p>
            <w:pPr>
              <w:spacing w:after="100" w:before="100"/>
            </w:pPr>
            <w:r>
              <w:rPr>
                <w:b w:val="0"/>
                <w:i w:val="0"/>
                <w:sz w:val="18"/>
              </w:rPr>
              <w:t>10.9</w:t>
            </w:r>
          </w:p>
        </w:tc>
        <w:tc>
          <w:tcPr>
            <w:tcW w:type="dxa" w:w="1632"/>
            <w:vAlign w:val="center"/>
            <w:shd w:fill="FFFFFF"/>
          </w:tcPr>
          <w:p>
            <w:pPr>
              <w:spacing w:after="100" w:before="100"/>
            </w:pPr>
            <w:r>
              <w:rPr>
                <w:b w:val="0"/>
                <w:i w:val="0"/>
                <w:sz w:val="18"/>
              </w:rPr>
              <w:t>4.923119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8.80865</w:t>
            </w:r>
          </w:p>
        </w:tc>
        <w:tc>
          <w:tcPr>
            <w:tcW w:type="dxa" w:w="1632"/>
            <w:vAlign w:val="center"/>
            <w:shd w:fill="FFFFFF"/>
          </w:tcPr>
          <w:p>
            <w:pPr>
              <w:spacing w:after="100" w:before="100"/>
            </w:pPr>
            <w:r>
              <w:rPr>
                <w:b w:val="0"/>
                <w:i w:val="0"/>
                <w:sz w:val="18"/>
              </w:rPr>
              <w:t>6</w:t>
            </w:r>
          </w:p>
        </w:tc>
        <w:tc>
          <w:tcPr>
            <w:tcW w:type="dxa" w:w="1632"/>
            <w:vAlign w:val="center"/>
            <w:shd w:fill="FFFFFF"/>
          </w:tcPr>
          <w:p>
            <w:pPr>
              <w:spacing w:after="100" w:before="100"/>
            </w:pPr>
            <w:r>
              <w:rPr>
                <w:b w:val="0"/>
                <w:i w:val="0"/>
                <w:sz w:val="18"/>
              </w:rPr>
              <w:t>46.81083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bl>
    <w:p>
      <w:pPr>
        <w:spacing w:after="0"/>
      </w:pPr>
    </w:p>
    <w:p>
      <w:pPr>
        <w:pStyle w:val="ListBullet"/>
      </w:pPr>
      <w:hyperlink r:id="rId23">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keepNext/>
      </w:pPr>
      <w:r>
        <w:rPr>
          <w:b/>
          <w:i w:val="0"/>
        </w:rPr>
        <w:t>Fixture inputs</w:t>
      </w:r>
    </w:p>
    <w:p>
      <w:pPr>
        <w:pStyle w:val="Caption"/>
      </w:pPr>
      <w:r>
        <w:t>{</w:t>
        <w:br/>
        <w:t xml:space="preserve">  "fiber": {</w:t>
        <w:br/>
        <w:t xml:space="preserve">    "E1": 230,</w:t>
        <w:br/>
        <w:t xml:space="preserve">    "E2": 15,</w:t>
        <w:br/>
        <w:t xml:space="preserve">    "G12": 27,</w:t>
        <w:br/>
        <w:t xml:space="preserve">    "nu12": 0.2</w:t>
        <w:br/>
        <w:t xml:space="preserve">  },</w:t>
        <w:br/>
        <w:t xml:space="preserve">  "matrix": {</w:t>
        <w:br/>
        <w:t xml:space="preserve">    "E": 4,</w:t>
        <w:br/>
        <w:t xml:space="preserve">    "G": 1.44,</w:t>
        <w:br/>
        <w:t xml:space="preserve">    "nu": 0.38</w:t>
        <w:br/>
        <w:t xml:space="preserve">  },</w:t>
        <w:br/>
        <w:t xml:space="preserve">  "volumeFractions": [</w:t>
        <w:br/>
        <w:t xml:space="preserve">    0.375,</w:t>
        <w:br/>
        <w:t xml:space="preserve">    0.733,</w:t>
        <w:br/>
        <w:t xml:space="preserve">    0.8</w:t>
        <w:br/>
        <w:t xml:space="preserve">  ],</w:t>
        <w:br/>
        <w:t xml:space="preserve">  "voidFraction": 0,</w:t>
        <w:br/>
        <w:t xml:space="preserve">  "model": "Halpin–Tsai model"</w:t>
        <w:br/>
        <w:t>}</w:t>
      </w:r>
    </w:p>
    <w:p>
      <w:pPr/>
      <w:hyperlink r:id="rId24">
        <w:r>
          <w:rPr>
            <w:color w:val="176EA4"/>
          </w:rPr>
          <w:t>Download source-validation evidence (JSON)</w:t>
        </w:r>
      </w:hyperlink>
      <w:r>
        <w:t xml:space="preserve"> </w:t>
      </w:r>
      <w:r>
        <w:rPr>
          <w:b w:val="0"/>
          <w:i w:val="0"/>
        </w:rPr>
        <w:t xml:space="preserve"> · </w:t>
      </w:r>
      <w:hyperlink r:id="rId25">
        <w:r>
          <w:rPr>
            <w:color w:val="176EA4"/>
          </w:rPr>
          <w:t>Full 104 -exercise study</w:t>
        </w:r>
      </w:hyperlink>
      <w:r>
        <w:t xml:space="preserve"> </w:t>
      </w:r>
    </w:p>
    <w:p>
      <w:pPr>
        <w:keepNext/>
      </w:pPr>
      <w:r>
        <w:rPr>
          <w:b w:val="0"/>
          <w:i w:val="0"/>
        </w:rPr>
        <w:t>Objective</w:t>
      </w:r>
    </w:p>
    <w:p>
      <w:pPr/>
      <w:r>
        <w:rPr>
          <w:b w:val="0"/>
          <w:i w:val="0"/>
        </w:rPr>
        <w:t>Predict how T700/PR520 effective ply stiffness changes across the three local fiber-volume regions used in NASA’s absorbed-matrix braid model.</w:t>
      </w:r>
    </w:p>
    <w:p>
      <w:pPr/>
      <w:r>
        <w:rPr>
          <w:b w:val="0"/>
          <w:i w:val="0"/>
        </w:rPr>
        <w:t>CDS scope</w:t>
      </w:r>
    </w:p>
    <w:p>
      <w:pPr/>
      <w:r>
        <w:rPr>
          <w:b w:val="0"/>
          <w:i w:val="0"/>
        </w:rPr>
        <w:t>CDS reproduces a constituent-to-lamina comparison. It does not reproduce the report’s complete braid subcell, LS-DYNA damage calibration, or coupon validation.</w:t>
      </w:r>
    </w:p>
    <w:p>
      <w:pPr/>
      <w:r>
        <w:rPr>
          <w:b w:val="0"/>
          <w:i w:val="0"/>
        </w:rPr>
        <w:t>Published basis</w:t>
      </w:r>
    </w:p>
    <w:p>
      <w:pPr/>
      <w:r>
        <w:rPr>
          <w:b w:val="0"/>
          <w:i w:val="0"/>
        </w:rPr>
        <w:t>1</w:t>
      </w:r>
      <w:r>
        <w:rPr>
          <w:b w:val="0"/>
          <w:i w:val="0"/>
        </w:rPr>
        <w:t xml:space="preserve"> </w:t>
      </w:r>
      <w:r>
        <w:rPr>
          <w:b w:val="0"/>
          <w:i w:val="0"/>
        </w:rPr>
        <w:t xml:space="preserve"> primary </w:t>
      </w:r>
      <w:r>
        <w:rPr>
          <w:b w:val="0"/>
          <w:i w:val="0"/>
        </w:rPr>
        <w:t xml:space="preserve"> </w:t>
      </w:r>
      <w:r>
        <w:rPr>
          <w:b w:val="0"/>
          <w:i w:val="0"/>
        </w:rPr>
        <w:t>source</w:t>
      </w:r>
    </w:p>
    <w:p>
      <w:pPr/>
      <w:r>
        <w:rPr>
          <w:b w:val="0"/>
          <w:i w:val="0"/>
        </w:rPr>
        <w:t>NASA/TM—2015-218814</w:t>
      </w:r>
    </w:p>
    <w:p>
      <w:r>
        <w:t>Experimental and Numerical Analysis of Triaxially Braided Composites Utilizing a Modified Subcell Modeling Approach</w:t>
      </w:r>
    </w:p>
    <w:p>
      <w:pPr/>
      <w:r>
        <w:rPr>
          <w:b w:val="0"/>
          <w:i w:val="0"/>
        </w:rPr>
        <w:t>Tables 3 and 4 provide T700 and PR520 constituent properties and MAC/GMC effective-ply values for Vf = 37.5%, 73.3% and 80%.</w:t>
      </w:r>
    </w:p>
    <w:p>
      <w:pPr/>
      <w:r>
        <w:rPr>
          <w:b w:val="0"/>
          <w:i w:val="0"/>
        </w:rPr>
        <w:t>Starting data</w:t>
      </w:r>
    </w:p>
    <w:p>
      <w:pPr/>
      <w:r>
        <w:rPr>
          <w:b w:val="0"/>
          <w:i w:val="0"/>
        </w:rPr>
        <w:t>Enter in the displayed units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Variable</w:t>
            </w:r>
          </w:p>
        </w:tc>
        <w:tc>
          <w:tcPr>
            <w:tcW w:type="dxa" w:w="3264"/>
            <w:vAlign w:val="center"/>
            <w:shd w:fill="E7EDF3"/>
          </w:tcPr>
          <w:p>
            <w:pPr>
              <w:keepNext/>
              <w:spacing w:after="100" w:before="100"/>
            </w:pPr>
            <w:r>
              <w:rPr>
                <w:b/>
                <w:i w:val="0"/>
                <w:sz w:val="20"/>
              </w:rPr>
              <w:t>Value</w:t>
            </w:r>
          </w:p>
        </w:tc>
        <w:tc>
          <w:tcPr>
            <w:tcW w:type="dxa" w:w="3264"/>
            <w:vAlign w:val="center"/>
            <w:shd w:fill="E7EDF3"/>
          </w:tcPr>
          <w:p>
            <w:pPr>
              <w:keepNext/>
              <w:spacing w:after="100" w:before="100"/>
            </w:pPr>
            <w:r>
              <w:rPr>
                <w:b/>
                <w:i w:val="0"/>
                <w:sz w:val="20"/>
              </w:rPr>
              <w:t>How it is used</w:t>
            </w:r>
          </w:p>
        </w:tc>
      </w:tr>
      <w:tr>
        <w:trPr>
          <w:cantSplit/>
        </w:trPr>
        <w:tc>
          <w:tcPr>
            <w:tcW w:type="dxa" w:w="3264"/>
            <w:vAlign w:val="center"/>
            <w:shd w:fill="FFFFFF"/>
          </w:tcPr>
          <w:p>
            <w:pPr>
              <w:spacing w:after="100" w:before="100"/>
            </w:pPr>
            <w:r>
              <w:rPr>
                <w:b w:val="0"/>
                <w:i w:val="0"/>
                <w:sz w:val="20"/>
              </w:rPr>
              <w:t>T700 density</w:t>
            </w:r>
          </w:p>
        </w:tc>
        <w:tc>
          <w:tcPr>
            <w:tcW w:type="dxa" w:w="3264"/>
            <w:vAlign w:val="center"/>
            <w:shd w:fill="FFFFFF"/>
          </w:tcPr>
          <w:p>
            <w:pPr>
              <w:spacing w:after="100" w:before="100"/>
            </w:pPr>
            <w:r>
              <w:rPr>
                <w:b w:val="0"/>
                <w:i w:val="0"/>
                <w:sz w:val="20"/>
              </w:rPr>
              <w:t>1.80 g/cm³</w:t>
            </w:r>
          </w:p>
        </w:tc>
        <w:tc>
          <w:tcPr>
            <w:tcW w:type="dxa" w:w="3264"/>
            <w:vAlign w:val="center"/>
            <w:shd w:fill="FFFFFF"/>
          </w:tcPr>
          <w:p>
            <w:pPr>
              <w:spacing w:after="100" w:before="100"/>
            </w:pPr>
            <w:r>
              <w:rPr>
                <w:b w:val="0"/>
                <w:i w:val="0"/>
                <w:sz w:val="20"/>
              </w:rPr>
              <w:t>Fiber physical property</w:t>
            </w:r>
          </w:p>
        </w:tc>
      </w:tr>
      <w:tr>
        <w:trPr>
          <w:cantSplit/>
        </w:trPr>
        <w:tc>
          <w:tcPr>
            <w:tcW w:type="dxa" w:w="3264"/>
            <w:vAlign w:val="center"/>
            <w:shd w:fill="FFFFFF"/>
          </w:tcPr>
          <w:p>
            <w:pPr>
              <w:spacing w:after="100" w:before="100"/>
            </w:pPr>
            <w:r>
              <w:rPr>
                <w:b w:val="0"/>
                <w:i w:val="0"/>
                <w:sz w:val="20"/>
              </w:rPr>
              <w:t>T700 E1 / E2</w:t>
            </w:r>
          </w:p>
        </w:tc>
        <w:tc>
          <w:tcPr>
            <w:tcW w:type="dxa" w:w="3264"/>
            <w:vAlign w:val="center"/>
            <w:shd w:fill="FFFFFF"/>
          </w:tcPr>
          <w:p>
            <w:pPr>
              <w:spacing w:after="100" w:before="100"/>
            </w:pPr>
            <w:r>
              <w:rPr>
                <w:b w:val="0"/>
                <w:i w:val="0"/>
                <w:sz w:val="20"/>
              </w:rPr>
              <w:t>230 / 15 GPa</w:t>
            </w:r>
          </w:p>
        </w:tc>
        <w:tc>
          <w:tcPr>
            <w:tcW w:type="dxa" w:w="3264"/>
            <w:vAlign w:val="center"/>
            <w:shd w:fill="FFFFFF"/>
          </w:tcPr>
          <w:p>
            <w:pPr>
              <w:spacing w:after="100" w:before="100"/>
            </w:pPr>
            <w:r>
              <w:rPr>
                <w:b w:val="0"/>
                <w:i w:val="0"/>
                <w:sz w:val="20"/>
              </w:rPr>
              <w:t>Fiber axial and transverse modulus</w:t>
            </w:r>
          </w:p>
        </w:tc>
      </w:tr>
      <w:tr>
        <w:trPr>
          <w:cantSplit/>
        </w:trPr>
        <w:tc>
          <w:tcPr>
            <w:tcW w:type="dxa" w:w="3264"/>
            <w:vAlign w:val="center"/>
            <w:shd w:fill="FFFFFF"/>
          </w:tcPr>
          <w:p>
            <w:pPr>
              <w:spacing w:after="100" w:before="100"/>
            </w:pPr>
            <w:r>
              <w:rPr>
                <w:b w:val="0"/>
                <w:i w:val="0"/>
                <w:sz w:val="20"/>
              </w:rPr>
              <w:t>T700 ν12 / G12</w:t>
            </w:r>
          </w:p>
        </w:tc>
        <w:tc>
          <w:tcPr>
            <w:tcW w:type="dxa" w:w="3264"/>
            <w:vAlign w:val="center"/>
            <w:shd w:fill="FFFFFF"/>
          </w:tcPr>
          <w:p>
            <w:pPr>
              <w:spacing w:after="100" w:before="100"/>
            </w:pPr>
            <w:r>
              <w:rPr>
                <w:b w:val="0"/>
                <w:i w:val="0"/>
                <w:sz w:val="20"/>
              </w:rPr>
              <w:t>0.20 / 27 GPa</w:t>
            </w:r>
          </w:p>
        </w:tc>
        <w:tc>
          <w:tcPr>
            <w:tcW w:type="dxa" w:w="3264"/>
            <w:vAlign w:val="center"/>
            <w:shd w:fill="FFFFFF"/>
          </w:tcPr>
          <w:p>
            <w:pPr>
              <w:spacing w:after="100" w:before="100"/>
            </w:pPr>
            <w:r>
              <w:rPr>
                <w:b w:val="0"/>
                <w:i w:val="0"/>
                <w:sz w:val="20"/>
              </w:rPr>
              <w:t>Fiber coupling and shear</w:t>
            </w:r>
          </w:p>
        </w:tc>
      </w:tr>
      <w:tr>
        <w:trPr>
          <w:cantSplit/>
        </w:trPr>
        <w:tc>
          <w:tcPr>
            <w:tcW w:type="dxa" w:w="3264"/>
            <w:vAlign w:val="center"/>
            <w:shd w:fill="FFFFFF"/>
          </w:tcPr>
          <w:p>
            <w:pPr>
              <w:spacing w:after="100" w:before="100"/>
            </w:pPr>
            <w:r>
              <w:rPr>
                <w:b w:val="0"/>
                <w:i w:val="0"/>
                <w:sz w:val="20"/>
              </w:rPr>
              <w:t>PR520 density</w:t>
            </w:r>
          </w:p>
        </w:tc>
        <w:tc>
          <w:tcPr>
            <w:tcW w:type="dxa" w:w="3264"/>
            <w:vAlign w:val="center"/>
            <w:shd w:fill="FFFFFF"/>
          </w:tcPr>
          <w:p>
            <w:pPr>
              <w:spacing w:after="100" w:before="100"/>
            </w:pPr>
            <w:r>
              <w:rPr>
                <w:b w:val="0"/>
                <w:i w:val="0"/>
                <w:sz w:val="20"/>
              </w:rPr>
              <w:t>1.25 g/cm³</w:t>
            </w:r>
          </w:p>
        </w:tc>
        <w:tc>
          <w:tcPr>
            <w:tcW w:type="dxa" w:w="3264"/>
            <w:vAlign w:val="center"/>
            <w:shd w:fill="FFFFFF"/>
          </w:tcPr>
          <w:p>
            <w:pPr>
              <w:spacing w:after="100" w:before="100"/>
            </w:pPr>
            <w:r>
              <w:rPr>
                <w:b w:val="0"/>
                <w:i w:val="0"/>
                <w:sz w:val="20"/>
              </w:rPr>
              <w:t>Matrix physical property</w:t>
            </w:r>
          </w:p>
        </w:tc>
      </w:tr>
      <w:tr>
        <w:trPr>
          <w:cantSplit/>
        </w:trPr>
        <w:tc>
          <w:tcPr>
            <w:tcW w:type="dxa" w:w="3264"/>
            <w:vAlign w:val="center"/>
            <w:shd w:fill="FFFFFF"/>
          </w:tcPr>
          <w:p>
            <w:pPr>
              <w:spacing w:after="100" w:before="100"/>
            </w:pPr>
            <w:r>
              <w:rPr>
                <w:b w:val="0"/>
                <w:i w:val="0"/>
                <w:sz w:val="20"/>
              </w:rPr>
              <w:t>PR520 E / ν / G</w:t>
            </w:r>
          </w:p>
        </w:tc>
        <w:tc>
          <w:tcPr>
            <w:tcW w:type="dxa" w:w="3264"/>
            <w:vAlign w:val="center"/>
            <w:shd w:fill="FFFFFF"/>
          </w:tcPr>
          <w:p>
            <w:pPr>
              <w:spacing w:after="100" w:before="100"/>
            </w:pPr>
            <w:r>
              <w:rPr>
                <w:b w:val="0"/>
                <w:i w:val="0"/>
                <w:sz w:val="20"/>
              </w:rPr>
              <w:t>4.0 GPa / 0.38 / 1.44 GPa</w:t>
            </w:r>
          </w:p>
        </w:tc>
        <w:tc>
          <w:tcPr>
            <w:tcW w:type="dxa" w:w="3264"/>
            <w:vAlign w:val="center"/>
            <w:shd w:fill="FFFFFF"/>
          </w:tcPr>
          <w:p>
            <w:pPr>
              <w:spacing w:after="100" w:before="100"/>
            </w:pPr>
            <w:r>
              <w:rPr>
                <w:b w:val="0"/>
                <w:i w:val="0"/>
                <w:sz w:val="20"/>
              </w:rPr>
              <w:t>Isotropic matrix elasticity</w:t>
            </w:r>
          </w:p>
        </w:tc>
      </w:tr>
      <w:tr>
        <w:trPr>
          <w:cantSplit/>
        </w:trPr>
        <w:tc>
          <w:tcPr>
            <w:tcW w:type="dxa" w:w="3264"/>
            <w:vAlign w:val="center"/>
            <w:shd w:fill="FFFFFF"/>
          </w:tcPr>
          <w:p>
            <w:pPr>
              <w:spacing w:after="100" w:before="100"/>
            </w:pPr>
            <w:r>
              <w:rPr>
                <w:b w:val="0"/>
                <w:i w:val="0"/>
                <w:sz w:val="20"/>
              </w:rPr>
              <w:t>Fiber volume fractions</w:t>
            </w:r>
          </w:p>
        </w:tc>
        <w:tc>
          <w:tcPr>
            <w:tcW w:type="dxa" w:w="3264"/>
            <w:vAlign w:val="center"/>
            <w:shd w:fill="FFFFFF"/>
          </w:tcPr>
          <w:p>
            <w:pPr>
              <w:spacing w:after="100" w:before="100"/>
            </w:pPr>
            <w:r>
              <w:rPr>
                <w:b w:val="0"/>
                <w:i w:val="0"/>
                <w:sz w:val="20"/>
              </w:rPr>
              <w:t>37.5%, 73.3%, 80.0%</w:t>
            </w:r>
          </w:p>
        </w:tc>
        <w:tc>
          <w:tcPr>
            <w:tcW w:type="dxa" w:w="3264"/>
            <w:vAlign w:val="center"/>
            <w:shd w:fill="FFFFFF"/>
          </w:tcPr>
          <w:p>
            <w:pPr>
              <w:spacing w:after="100" w:before="100"/>
            </w:pPr>
            <w:r>
              <w:rPr>
                <w:b w:val="0"/>
                <w:i w:val="0"/>
                <w:sz w:val="20"/>
              </w:rPr>
              <w:t>Three separate micromechanics evaluations</w:t>
            </w:r>
          </w:p>
        </w:tc>
      </w:tr>
    </w:tbl>
    <w:p>
      <w:pPr>
        <w:spacing w:after="0"/>
      </w:pPr>
    </w:p>
    <w:p>
      <w:pPr>
        <w:keepNext/>
      </w:pPr>
      <w:r>
        <w:rPr>
          <w:b w:val="0"/>
          <w:i w:val="0"/>
        </w:rPr>
        <w:t>Review checkpoints</w:t>
      </w:r>
    </w:p>
    <w:p>
      <w:pPr/>
      <w:r>
        <w:rPr>
          <w:b w:val="0"/>
          <w:i w:val="0"/>
        </w:rPr>
        <w:t>Comparison, not certification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Result</w:t>
            </w:r>
          </w:p>
        </w:tc>
        <w:tc>
          <w:tcPr>
            <w:tcW w:type="dxa" w:w="3264"/>
            <w:vAlign w:val="center"/>
            <w:shd w:fill="E7EDF3"/>
          </w:tcPr>
          <w:p>
            <w:pPr>
              <w:keepNext/>
              <w:spacing w:after="100" w:before="100"/>
            </w:pPr>
            <w:r>
              <w:rPr>
                <w:b/>
                <w:i w:val="0"/>
                <w:sz w:val="20"/>
              </w:rPr>
              <w:t>Published reference</w:t>
            </w:r>
          </w:p>
        </w:tc>
        <w:tc>
          <w:tcPr>
            <w:tcW w:type="dxa" w:w="3264"/>
            <w:vAlign w:val="center"/>
            <w:shd w:fill="E7EDF3"/>
          </w:tcPr>
          <w:p>
            <w:pPr>
              <w:keepNext/>
              <w:spacing w:after="100" w:before="100"/>
            </w:pPr>
            <w:r>
              <w:rPr>
                <w:b/>
                <w:i w:val="0"/>
                <w:sz w:val="20"/>
              </w:rPr>
              <w:t>Interpretation</w:t>
            </w:r>
          </w:p>
        </w:tc>
      </w:tr>
      <w:tr>
        <w:trPr>
          <w:cantSplit/>
        </w:trPr>
        <w:tc>
          <w:tcPr>
            <w:tcW w:type="dxa" w:w="3264"/>
            <w:vAlign w:val="center"/>
            <w:shd w:fill="FFFFFF"/>
          </w:tcPr>
          <w:p>
            <w:pPr>
              <w:spacing w:after="100" w:before="100"/>
            </w:pPr>
            <w:r>
              <w:rPr>
                <w:b w:val="0"/>
                <w:i w:val="0"/>
                <w:sz w:val="20"/>
              </w:rPr>
              <w:t>Vf 37.5%: E1 / E2 / G12</w:t>
            </w:r>
          </w:p>
        </w:tc>
        <w:tc>
          <w:tcPr>
            <w:tcW w:type="dxa" w:w="3264"/>
            <w:vAlign w:val="center"/>
            <w:shd w:fill="FFFFFF"/>
          </w:tcPr>
          <w:p>
            <w:pPr>
              <w:spacing w:after="100" w:before="100"/>
            </w:pPr>
            <w:r>
              <w:rPr>
                <w:b w:val="0"/>
                <w:i w:val="0"/>
                <w:sz w:val="20"/>
              </w:rPr>
              <w:t>88.5 / 6.22 / 2.60 GPa</w:t>
            </w:r>
          </w:p>
        </w:tc>
        <w:tc>
          <w:tcPr>
            <w:tcW w:type="dxa" w:w="3264"/>
            <w:vAlign w:val="center"/>
            <w:shd w:fill="FFFFFF"/>
          </w:tcPr>
          <w:p>
            <w:pPr>
              <w:spacing w:after="100" w:before="100"/>
            </w:pPr>
            <w:r>
              <w:rPr>
                <w:b w:val="0"/>
                <w:i w:val="0"/>
                <w:sz w:val="20"/>
              </w:rPr>
              <w:t>B-braider effective ply</w:t>
            </w:r>
          </w:p>
        </w:tc>
      </w:tr>
      <w:tr>
        <w:trPr>
          <w:cantSplit/>
        </w:trPr>
        <w:tc>
          <w:tcPr>
            <w:tcW w:type="dxa" w:w="3264"/>
            <w:vAlign w:val="center"/>
            <w:shd w:fill="FFFFFF"/>
          </w:tcPr>
          <w:p>
            <w:pPr>
              <w:spacing w:after="100" w:before="100"/>
            </w:pPr>
            <w:r>
              <w:rPr>
                <w:b w:val="0"/>
                <w:i w:val="0"/>
                <w:sz w:val="20"/>
              </w:rPr>
              <w:t>Vf 73.3%: E1 / E2 / G12</w:t>
            </w:r>
          </w:p>
        </w:tc>
        <w:tc>
          <w:tcPr>
            <w:tcW w:type="dxa" w:w="3264"/>
            <w:vAlign w:val="center"/>
            <w:shd w:fill="FFFFFF"/>
          </w:tcPr>
          <w:p>
            <w:pPr>
              <w:spacing w:after="100" w:before="100"/>
            </w:pPr>
            <w:r>
              <w:rPr>
                <w:b w:val="0"/>
                <w:i w:val="0"/>
                <w:sz w:val="20"/>
              </w:rPr>
              <w:t>169.5 / 9.90 / 7.00 GPa</w:t>
            </w:r>
          </w:p>
        </w:tc>
        <w:tc>
          <w:tcPr>
            <w:tcW w:type="dxa" w:w="3264"/>
            <w:vAlign w:val="center"/>
            <w:shd w:fill="FFFFFF"/>
          </w:tcPr>
          <w:p>
            <w:pPr>
              <w:spacing w:after="100" w:before="100"/>
            </w:pPr>
            <w:r>
              <w:rPr>
                <w:b w:val="0"/>
                <w:i w:val="0"/>
                <w:sz w:val="20"/>
              </w:rPr>
              <w:t>A/C-braider effective ply</w:t>
            </w:r>
          </w:p>
        </w:tc>
      </w:tr>
      <w:tr>
        <w:trPr>
          <w:cantSplit/>
        </w:trPr>
        <w:tc>
          <w:tcPr>
            <w:tcW w:type="dxa" w:w="3264"/>
            <w:vAlign w:val="center"/>
            <w:shd w:fill="FFFFFF"/>
          </w:tcPr>
          <w:p>
            <w:pPr>
              <w:spacing w:after="100" w:before="100"/>
            </w:pPr>
            <w:r>
              <w:rPr>
                <w:b w:val="0"/>
                <w:i w:val="0"/>
                <w:sz w:val="20"/>
              </w:rPr>
              <w:t>Vf 80.0%: E1 / E2 / G12</w:t>
            </w:r>
          </w:p>
        </w:tc>
        <w:tc>
          <w:tcPr>
            <w:tcW w:type="dxa" w:w="3264"/>
            <w:vAlign w:val="center"/>
            <w:shd w:fill="FFFFFF"/>
          </w:tcPr>
          <w:p>
            <w:pPr>
              <w:spacing w:after="100" w:before="100"/>
            </w:pPr>
            <w:r>
              <w:rPr>
                <w:b w:val="0"/>
                <w:i w:val="0"/>
                <w:sz w:val="20"/>
              </w:rPr>
              <w:t>184.7 / 10.9 / 6.00 GPa</w:t>
            </w:r>
          </w:p>
        </w:tc>
        <w:tc>
          <w:tcPr>
            <w:tcW w:type="dxa" w:w="3264"/>
            <w:vAlign w:val="center"/>
            <w:shd w:fill="FFFFFF"/>
          </w:tcPr>
          <w:p>
            <w:pPr>
              <w:spacing w:after="100" w:before="100"/>
            </w:pPr>
            <w:r>
              <w:rPr>
                <w:b w:val="0"/>
                <w:i w:val="0"/>
                <w:sz w:val="20"/>
              </w:rPr>
              <w:t>A-axial effective ply</w:t>
            </w:r>
          </w:p>
        </w:tc>
      </w:tr>
    </w:tbl>
    <w:p>
      <w:pPr>
        <w:spacing w:after="0"/>
      </w:pPr>
    </w:p>
    <w:p>
      <w:pPr/>
      <w:hyperlink r:id="rId35">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Create traceable constituent records</w:t>
      </w:r>
    </w:p>
    <w:p>
      <w:pPr/>
      <w:r>
        <w:rPr>
          <w:b w:val="0"/>
          <w:i w:val="0"/>
        </w:rPr>
        <w:t>Duplicate the nearest carbon-fiber and thermoset records so the library baselines remain unchanged.</w:t>
      </w:r>
    </w:p>
    <w:p>
      <w:pPr>
        <w:pStyle w:val="ListBullet"/>
      </w:pPr>
      <w:r>
        <w:rPr>
          <w:b w:val="0"/>
          <w:i w:val="0"/>
        </w:rPr>
        <w:t>Name the records T700 — NASA case study and PR520 — NASA case study.</w:t>
      </w:r>
    </w:p>
    <w:p>
      <w:pPr>
        <w:pStyle w:val="ListBullet"/>
      </w:pPr>
      <w:r>
        <w:rPr>
          <w:b w:val="0"/>
          <w:i w:val="0"/>
        </w:rPr>
        <w:t>Enter the density and elastic values from the starting-data table. For the isotropic matrix, use E = 4.0 GPa, ν = 0.38 and G = 1.44 GPa.</w:t>
      </w:r>
    </w:p>
    <w:p>
      <w:pPr>
        <w:pStyle w:val="ListBullet"/>
      </w:pPr>
      <w:r>
        <w:rPr>
          <w:b w:val="0"/>
          <w:i w:val="0"/>
        </w:rPr>
        <w:t>Add the NASA report as the source, mark the values as published research inputs, and leave unsupported strength or transport terms visibly incomplete.</w:t>
      </w:r>
    </w:p>
    <w:p>
      <w:pPr>
        <w:keepNext/>
      </w:pPr>
      <w:r>
        <w:t>Good practice</w:t>
      </w:r>
    </w:p>
    <w:p>
      <w:pPr/>
      <w:r>
        <w:rPr>
          <w:b w:val="0"/>
          <w:i w:val="0"/>
        </w:rPr>
        <w:t>Do not relabel these literature inputs as qualified allowables.</w:t>
      </w:r>
    </w:p>
    <w:p>
      <w:pPr>
        <w:pStyle w:val="Heading2"/>
      </w:pPr>
      <w:r>
        <w:t>Link a continuous-fiber micromechanics model</w:t>
      </w:r>
    </w:p>
    <w:p>
      <w:pPr/>
      <w:r>
        <w:rPr>
          <w:b w:val="0"/>
          <w:i w:val="0"/>
        </w:rPr>
        <w:t>Create or duplicate a unidirectional micromechanics record and link the T700 fiber and PR520 matrix.</w:t>
      </w:r>
    </w:p>
    <w:p>
      <w:pPr>
        <w:pStyle w:val="ListBullet"/>
      </w:pPr>
      <w:r>
        <w:rPr>
          <w:b w:val="0"/>
          <w:i w:val="0"/>
        </w:rPr>
        <w:t>Choose a model that reports the full orthotropic lamina stiffness.</w:t>
      </w:r>
    </w:p>
    <w:p>
      <w:pPr>
        <w:pStyle w:val="ListBullet"/>
      </w:pPr>
      <w:r>
        <w:rPr>
          <w:b w:val="0"/>
          <w:i w:val="0"/>
        </w:rPr>
        <w:t>Set void fraction to zero for the baseline comparison and keep empirical closure parameters at their documented defaults.</w:t>
      </w:r>
    </w:p>
    <w:p>
      <w:pPr>
        <w:pStyle w:val="ListBullet"/>
      </w:pPr>
      <w:r>
        <w:rPr>
          <w:b w:val="0"/>
          <w:i w:val="0"/>
        </w:rPr>
        <w:t>Confirm Live Microstructure and the dependency summary point to the two case-study constituent records.</w:t>
      </w:r>
    </w:p>
    <w:p>
      <w:pPr>
        <w:pStyle w:val="Heading2"/>
      </w:pPr>
      <w:r>
        <w:t>Sweep the three published fiber fractions</w:t>
      </w:r>
    </w:p>
    <w:p>
      <w:pPr/>
      <w:r>
        <w:rPr>
          <w:b w:val="0"/>
          <w:i w:val="0"/>
        </w:rPr>
        <w:t>Use Lamina / Micro optimization or three duplicated model records to evaluate Vf = 37.5%, 73.3% and 80.0%.</w:t>
      </w:r>
    </w:p>
    <w:p>
      <w:pPr>
        <w:pStyle w:val="ListBullet"/>
      </w:pPr>
      <w:r>
        <w:rPr>
          <w:b w:val="0"/>
          <w:i w:val="0"/>
        </w:rPr>
        <w:t>Hold all other inputs fixed and evaluate each volume fraction.</w:t>
      </w:r>
    </w:p>
    <w:p>
      <w:pPr>
        <w:pStyle w:val="ListBullet"/>
      </w:pPr>
      <w:r>
        <w:rPr>
          <w:b w:val="0"/>
          <w:i w:val="0"/>
        </w:rPr>
        <w:t>Plot Vf against E1, E2 and G12; use a line view for the trend and the table for exact values.</w:t>
      </w:r>
    </w:p>
    <w:p>
      <w:pPr>
        <w:pStyle w:val="ListBullet"/>
      </w:pPr>
      <w:r>
        <w:rPr>
          <w:b w:val="0"/>
          <w:i w:val="0"/>
        </w:rPr>
        <w:t>Save one optimization snapshot or export one comparison table containing all three cases.</w:t>
      </w:r>
    </w:p>
    <w:p>
      <w:pPr>
        <w:pStyle w:val="Heading2"/>
      </w:pPr>
      <w:r>
        <w:t>Compare the effective lamina response</w:t>
      </w:r>
    </w:p>
    <w:p>
      <w:pPr/>
      <w:r>
        <w:rPr>
          <w:b w:val="0"/>
          <w:i w:val="0"/>
        </w:rPr>
        <w:t>Compare CDS output with NASA’s MAC/GMC values in the checkpoint table. Expect the longitudinal trend to be strongest and model-dependent differences in transverse and shear response.</w:t>
      </w:r>
    </w:p>
    <w:p>
      <w:pPr>
        <w:pStyle w:val="ListBullet"/>
      </w:pPr>
      <w:r>
        <w:rPr>
          <w:b w:val="0"/>
          <w:i w:val="0"/>
        </w:rPr>
        <w:t>Calculate percent difference as 100 × (CDS − reference) / reference for each modulus.</w:t>
      </w:r>
    </w:p>
    <w:p>
      <w:pPr>
        <w:pStyle w:val="ListBullet"/>
      </w:pPr>
      <w:r>
        <w:rPr>
          <w:b w:val="0"/>
          <w:i w:val="0"/>
        </w:rPr>
        <w:t>Inspect the selected model’s assumptions before attributing differences to input data.</w:t>
      </w:r>
    </w:p>
    <w:p>
      <w:pPr>
        <w:pStyle w:val="ListBullet"/>
      </w:pPr>
      <w:r>
        <w:rPr>
          <w:b w:val="0"/>
          <w:i w:val="0"/>
        </w:rPr>
        <w:t>Repeat with another supported homogenization model to show model-form sensitivity.</w:t>
      </w:r>
    </w:p>
    <w:p>
      <w:pPr>
        <w:keepNext/>
      </w:pPr>
      <w:r>
        <w:t>Good practice</w:t>
      </w:r>
    </w:p>
    <w:p>
      <w:pPr/>
      <w:r>
        <w:rPr>
          <w:b w:val="0"/>
          <w:i w:val="0"/>
        </w:rPr>
        <w:t>NASA used MAC/GMC and an absorbed-matrix subcell interpretation. A different CDS homogenization method should reproduce the engineering trend, not necessarily every table entry.</w:t>
      </w:r>
    </w:p>
    <w:p>
      <w:pPr>
        <w:pStyle w:val="Heading2"/>
      </w:pPr>
      <w:r>
        <w:t>Save the predicted lamina for downstream work</w:t>
      </w:r>
    </w:p>
    <w:p>
      <w:pPr/>
      <w:r>
        <w:rPr>
          <w:b w:val="0"/>
          <w:i w:val="0"/>
        </w:rPr>
        <w:t>Create a new lamina material from the selected prediction and retain the model and source links.</w:t>
      </w:r>
    </w:p>
    <w:p>
      <w:pPr>
        <w:pStyle w:val="ListBullet"/>
      </w:pPr>
      <w:r>
        <w:rPr>
          <w:b w:val="0"/>
          <w:i w:val="0"/>
        </w:rPr>
        <w:t>Choose the fiber fraction appropriate to the intended region rather than averaging the three NASA subcells without justification.</w:t>
      </w:r>
    </w:p>
    <w:p>
      <w:pPr>
        <w:pStyle w:val="ListBullet"/>
      </w:pPr>
      <w:r>
        <w:rPr>
          <w:b w:val="0"/>
          <w:i w:val="0"/>
        </w:rPr>
        <w:t>Save the generated material with Prediction status.</w:t>
      </w:r>
    </w:p>
    <w:p>
      <w:pPr>
        <w:pStyle w:val="ListBullet"/>
      </w:pPr>
      <w:r>
        <w:rPr>
          <w:b w:val="0"/>
          <w:i w:val="0"/>
        </w:rPr>
        <w:t>Open the new record and verify that its provenance identifies both constituents and the micromechanics model.</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3" w:name="chapter_3"/>
      <w:pPr>
        <w:pStyle w:val="Heading1"/>
        <w:pageBreakBefore/>
      </w:pPr>
      <w:r>
        <w:t>3 Design a balanced T700/epoxy tube laminate</w:t>
      </w:r>
      <w:bookmarkEnd w:id="3"/>
    </w:p>
    <w:p>
      <w:pPr>
        <w:pStyle w:val="Caption"/>
      </w:pPr>
      <w:hyperlink r:id="rId36">
        <w:r>
          <w:rPr>
            <w:color w:val="176EA4"/>
          </w:rPr>
          <w:t>Online chapter</w:t>
        </w:r>
      </w:hyperlink>
      <w:r>
        <w:t xml:space="preserve"> </w:t>
      </w:r>
    </w:p>
    <w:p>
      <w:pPr/>
      <w:r>
        <w:rPr>
          <w:b w:val="0"/>
          <w:i w:val="0"/>
        </w:rPr>
        <w:t>Rebuild NASA’s [±45]₄ thin-wall tube calculation, compare effective properties, and then explore the angle design space without losing the published baseline.</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pStyle w:val="Caption"/>
      </w:pPr>
      <w:r>
        <w:rPr>
          <w:b w:val="0"/>
          <w:i w:val="0"/>
        </w:rPr>
        <w:t xml:space="preserve">Two-row simulation workflow · </w:t>
      </w:r>
      <w:hyperlink r:id="rId37">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3" name="Picture 3" descr="Design a balanced T700/epoxy tube laminate. two-row simulation workflow with connected input blocks, fatigue and optimization"/>
            <wp:cNvGraphicFramePr>
              <a:graphicFrameLocks noChangeAspect="1"/>
            </wp:cNvGraphicFramePr>
            <a:graphic>
              <a:graphicData uri="http://schemas.openxmlformats.org/drawingml/2006/picture">
                <pic:pic>
                  <pic:nvPicPr>
                    <pic:cNvPr id="0" name="rsvg-19eeaae05f196cfabfe7832de9d92bd3f09448215bf20d7c2fa33ca4cdee5e8a.png"/>
                    <pic:cNvPicPr/>
                  </pic:nvPicPr>
                  <pic:blipFill>
                    <a:blip r:embed="rId38"/>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IM7 / 8552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CLT · Linear thin-wall membrane</w:t>
      </w:r>
      <w:r>
        <w:rPr>
          <w:b/>
          <w:i w:val="0"/>
        </w:rPr>
        <w:t xml:space="preserve"> </w:t>
      </w:r>
      <w:r>
        <w:rPr>
          <w:b/>
          <w:i w:val="0"/>
        </w:rPr>
        <w:t xml:space="preserve"> · </w:t>
      </w:r>
      <w:r>
        <w:rPr>
          <w:b/>
          <w:i w:val="0"/>
        </w:rPr>
        <w:t xml:space="preserve"> </w:t>
      </w:r>
      <w:r>
        <w:rPr>
          <w:b/>
          <w:i w:val="0"/>
        </w:rPr>
        <w:t>Cylinder — Internal Pressure · Pressure vessel</w:t>
      </w:r>
    </w:p>
    <w:p>
      <w:pPr/>
      <w:r>
        <w:rPr>
          <w:b w:val="0"/>
          <w:i w:val="0"/>
        </w:rPr>
        <w:t>Shared laminate stiffness drives this membrane/CLT path. Failure criteria are independent comparisons, not blended models. Fatigue is a separate assessment.</w:t>
      </w:r>
    </w:p>
    <w:p>
      <w:hyperlink r:id="rId39">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Geometry</w:t>
      </w:r>
      <w:r>
        <w:rPr>
          <w:b/>
          <w:i w:val="0"/>
        </w:rPr>
        <w:t xml:space="preserve"> </w:t>
      </w:r>
      <w:r>
        <w:rPr>
          <w:b/>
          <w:i w:val="0"/>
        </w:rPr>
        <w:t xml:space="preserve"> → </w:t>
      </w:r>
      <w:r>
        <w:rPr>
          <w:b/>
          <w:i w:val="0"/>
        </w:rPr>
        <w:t xml:space="preserve"> </w:t>
      </w:r>
      <w:r>
        <w:rPr>
          <w:b/>
          <w:i w:val="0"/>
        </w:rPr>
        <w:t>Mechanical</w:t>
      </w:r>
      <w:r>
        <w:br/>
      </w:r>
      <w:r>
        <w:rPr>
          <w:b w:val="0"/>
          <w:i w:val="0"/>
        </w:rPr>
        <w:t>Shape and dimensions for the selected structural analysis.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copied IM7 pressure-vessel records are scaffolding. Replace the ply source and dimensions with the published T700/epoxy inputs; a pressure load is not an axial or torsional test.</w:t>
      </w:r>
    </w:p>
    <w:p>
      <w:pPr>
        <w:pStyle w:val="ListBullet"/>
      </w:pPr>
      <w:hyperlink r:id="rId40">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r>
        <w:rPr>
          <w:b w:val="0"/>
          <w:i w:val="0"/>
        </w:rPr>
        <w:t xml:space="preserve">Input SHA-256: </w:t>
      </w:r>
      <w:r>
        <w:rPr>
          <w:b w:val="0"/>
          <w:i w:val="0"/>
        </w:rPr>
        <w:t xml:space="preserve"> </w:t>
      </w:r>
      <w:r>
        <w:rPr>
          <w:b w:val="0"/>
          <w:i w:val="0"/>
        </w:rPr>
        <w:t>8a86a623acc8d1dbf229bcb467cc07faef12e797aff844c6cc071a5fa1cb8be4</w:t>
      </w:r>
      <w:r>
        <w:br/>
      </w:r>
      <w:r>
        <w:rPr>
          <w:b w:val="0"/>
          <w:i w:val="0"/>
        </w:rPr>
        <w:t xml:space="preserve">Solver source SHA-256: </w:t>
      </w:r>
      <w:r>
        <w:rPr>
          <w:b w:val="0"/>
          <w:i w:val="0"/>
        </w:rPr>
        <w:t xml:space="preserve"> </w:t>
      </w:r>
      <w:r>
        <w:rPr>
          <w:b w:val="0"/>
          <w:i w:val="0"/>
        </w:rPr>
        <w:t>30c8a614b6cb004a26da8adaf8ab7c534c37c4d534836921939f35a549e1bcc5</w:t>
      </w:r>
    </w:p>
    <w:p>
      <w:pPr>
        <w:pStyle w:val="ListBullet"/>
      </w:pPr>
      <w:r>
        <w:rPr>
          <w:b w:val="0"/>
          <w:i w:val="0"/>
        </w:rPr>
        <w:t>Classical-laminate and first-ply screening. Manufacturing variation and qualification are excluded; the source describes estimated ply data.</w:t>
      </w:r>
    </w:p>
    <w:p>
      <w:pPr>
        <w:keepNext/>
      </w:pPr>
      <w:r>
        <w:rPr>
          <w:b/>
          <w:i w:val="0"/>
        </w:rPr>
        <w:t xml:space="preserve">Separate published-data fixture: </w:t>
      </w:r>
      <w:r>
        <w:rPr>
          <w:b/>
          <w:i w:val="0"/>
        </w:rPr>
        <w:t xml:space="preserve"> </w:t>
      </w:r>
      <w:r>
        <w:rPr>
          <w:b/>
          <w:i w:val="0"/>
        </w:rPr>
        <w:t>Benchmark validated — published calculation</w:t>
      </w:r>
    </w:p>
    <w:p>
      <w:pPr/>
      <w:r>
        <w:rPr>
          <w:b w:val="0"/>
          <w:i w:val="0"/>
        </w:rPr>
        <w:t>Separate source-matched stiffness fixture, NOT the unchanged IM7 starter. Only Ex, Gxy and νxy. No experimental or strength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27.71415</w:t>
            </w:r>
          </w:p>
        </w:tc>
        <w:tc>
          <w:tcPr>
            <w:tcW w:type="dxa" w:w="1632"/>
            <w:vAlign w:val="center"/>
            <w:shd w:fill="FFFFFF"/>
          </w:tcPr>
          <w:p>
            <w:pPr>
              <w:spacing w:after="100" w:before="100"/>
            </w:pPr>
            <w:r>
              <w:rPr>
                <w:b w:val="0"/>
                <w:i w:val="0"/>
                <w:sz w:val="18"/>
              </w:rPr>
              <w:t>27.7</w:t>
            </w:r>
          </w:p>
        </w:tc>
        <w:tc>
          <w:tcPr>
            <w:tcW w:type="dxa" w:w="1632"/>
            <w:vAlign w:val="center"/>
            <w:shd w:fill="FFFFFF"/>
          </w:tcPr>
          <w:p>
            <w:pPr>
              <w:spacing w:after="100" w:before="100"/>
            </w:pPr>
            <w:r>
              <w:rPr>
                <w:b w:val="0"/>
                <w:i w:val="0"/>
                <w:sz w:val="18"/>
              </w:rPr>
              <w:t>0.05108303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39.54424</w:t>
            </w:r>
          </w:p>
        </w:tc>
        <w:tc>
          <w:tcPr>
            <w:tcW w:type="dxa" w:w="1632"/>
            <w:vAlign w:val="center"/>
            <w:shd w:fill="FFFFFF"/>
          </w:tcPr>
          <w:p>
            <w:pPr>
              <w:spacing w:after="100" w:before="100"/>
            </w:pPr>
            <w:r>
              <w:rPr>
                <w:b w:val="0"/>
                <w:i w:val="0"/>
                <w:sz w:val="18"/>
              </w:rPr>
              <w:t>39.6</w:t>
            </w:r>
          </w:p>
        </w:tc>
        <w:tc>
          <w:tcPr>
            <w:tcW w:type="dxa" w:w="1632"/>
            <w:vAlign w:val="center"/>
            <w:shd w:fill="FFFFFF"/>
          </w:tcPr>
          <w:p>
            <w:pPr>
              <w:spacing w:after="100" w:before="100"/>
            </w:pPr>
            <w:r>
              <w:rPr>
                <w:b w:val="0"/>
                <w:i w:val="0"/>
                <w:sz w:val="18"/>
              </w:rPr>
              <w:t>-0.1408081</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0.67558</w:t>
            </w:r>
          </w:p>
        </w:tc>
        <w:tc>
          <w:tcPr>
            <w:tcW w:type="dxa" w:w="1632"/>
            <w:vAlign w:val="center"/>
            <w:shd w:fill="FFFFFF"/>
          </w:tcPr>
          <w:p>
            <w:pPr>
              <w:spacing w:after="100" w:before="100"/>
            </w:pPr>
            <w:r>
              <w:rPr>
                <w:b w:val="0"/>
                <w:i w:val="0"/>
                <w:sz w:val="18"/>
              </w:rPr>
              <w:t>0.68</w:t>
            </w:r>
          </w:p>
        </w:tc>
        <w:tc>
          <w:tcPr>
            <w:tcW w:type="dxa" w:w="1632"/>
            <w:vAlign w:val="center"/>
            <w:shd w:fill="FFFFFF"/>
          </w:tcPr>
          <w:p>
            <w:pPr>
              <w:spacing w:after="100" w:before="100"/>
            </w:pPr>
            <w:r>
              <w:rPr>
                <w:b w:val="0"/>
                <w:i w:val="0"/>
                <w:sz w:val="18"/>
              </w:rPr>
              <w:t>-0.65</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40">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keepNext/>
      </w:pPr>
      <w:r>
        <w:rPr>
          <w:b/>
          <w:i w:val="0"/>
        </w:rPr>
        <w:t>Fixture inputs</w:t>
      </w:r>
    </w:p>
    <w:p>
      <w:pPr>
        <w:pStyle w:val="Caption"/>
      </w:pPr>
      <w:r>
        <w:t>{</w:t>
        <w:br/>
        <w:t xml:space="preserve">  "E1GPa": 153,</w:t>
        <w:br/>
        <w:t xml:space="preserve">  "E2GPa": 10.5,</w:t>
        <w:br/>
        <w:t xml:space="preserve">  "G12GPa": 8.27,</w:t>
        <w:br/>
        <w:t xml:space="preserve">  "nu12": 0.3,</w:t>
        <w:br/>
        <w:t xml:space="preserve">  "stack": "[45/-45]4",</w:t>
        <w:br/>
        <w:t xml:space="preserve">  "thicknessMm": 2.345</w:t>
        <w:br/>
        <w:t>}</w:t>
      </w:r>
    </w:p>
    <w:p>
      <w:pPr/>
      <w:hyperlink r:id="rId41">
        <w:r>
          <w:rPr>
            <w:color w:val="176EA4"/>
          </w:rPr>
          <w:t>Download source-validation evidence (JSON)</w:t>
        </w:r>
      </w:hyperlink>
      <w:r>
        <w:t xml:space="preserve"> </w:t>
      </w:r>
      <w:r>
        <w:rPr>
          <w:b w:val="0"/>
          <w:i w:val="0"/>
        </w:rPr>
        <w:t xml:space="preserve"> · </w:t>
      </w:r>
      <w:hyperlink r:id="rId25">
        <w:r>
          <w:rPr>
            <w:color w:val="176EA4"/>
          </w:rPr>
          <w:t>Full 104 -exercise study</w:t>
        </w:r>
      </w:hyperlink>
      <w:r>
        <w:t xml:space="preserve"> </w:t>
      </w:r>
    </w:p>
    <w:p>
      <w:pPr>
        <w:keepNext/>
      </w:pPr>
      <w:r>
        <w:rPr>
          <w:b w:val="0"/>
          <w:i w:val="0"/>
        </w:rPr>
        <w:t>Objective</w:t>
      </w:r>
    </w:p>
    <w:p>
      <w:pPr/>
      <w:r>
        <w:rPr>
          <w:b w:val="0"/>
          <w:i w:val="0"/>
        </w:rPr>
        <w:t>Reproduce the classical-laminate response of a balanced [±45]₄ T700/epoxy tube and use it as a controlled starting point for a design study.</w:t>
      </w:r>
    </w:p>
    <w:p>
      <w:pPr/>
      <w:r>
        <w:rPr>
          <w:b w:val="0"/>
          <w:i w:val="0"/>
        </w:rPr>
        <w:t>CDS scope</w:t>
      </w:r>
    </w:p>
    <w:p>
      <w:pPr/>
      <w:r>
        <w:rPr>
          <w:b w:val="0"/>
          <w:i w:val="0"/>
        </w:rPr>
        <w:t>CDS can reproduce the laminate constitutive and first-ply screening calculations. It does not reproduce manufacturing variation or certify the report’s estimated input properties.</w:t>
      </w:r>
    </w:p>
    <w:p>
      <w:pPr/>
      <w:r>
        <w:rPr>
          <w:b w:val="0"/>
          <w:i w:val="0"/>
        </w:rPr>
        <w:t>Published basis</w:t>
      </w:r>
    </w:p>
    <w:p>
      <w:pPr/>
      <w:r>
        <w:rPr>
          <w:b w:val="0"/>
          <w:i w:val="0"/>
        </w:rPr>
        <w:t>1</w:t>
      </w:r>
      <w:r>
        <w:rPr>
          <w:b w:val="0"/>
          <w:i w:val="0"/>
        </w:rPr>
        <w:t xml:space="preserve"> </w:t>
      </w:r>
      <w:r>
        <w:rPr>
          <w:b w:val="0"/>
          <w:i w:val="0"/>
        </w:rPr>
        <w:t xml:space="preserve"> primary </w:t>
      </w:r>
      <w:r>
        <w:rPr>
          <w:b w:val="0"/>
          <w:i w:val="0"/>
        </w:rPr>
        <w:t xml:space="preserve"> </w:t>
      </w:r>
      <w:r>
        <w:rPr>
          <w:b w:val="0"/>
          <w:i w:val="0"/>
        </w:rPr>
        <w:t>source</w:t>
      </w:r>
    </w:p>
    <w:p>
      <w:pPr/>
      <w:r>
        <w:rPr>
          <w:b w:val="0"/>
          <w:i w:val="0"/>
        </w:rPr>
        <w:t>NASA/TM—2014-216635</w:t>
      </w:r>
    </w:p>
    <w:p>
      <w:r>
        <w:t>Engineered Polymer Composites Through Electrospun Nanofiber Coating of Fiber Tows</w:t>
      </w:r>
    </w:p>
    <w:p>
      <w:pPr/>
      <w:r>
        <w:rPr>
          <w:b w:val="0"/>
          <w:i w:val="0"/>
        </w:rPr>
        <w:t>Tables 1 and 2 report estimated T700/epoxy ply properties, [±45]₄ tube dimensions, and CLPT-based laminate properties.</w:t>
      </w:r>
    </w:p>
    <w:p>
      <w:pPr/>
      <w:r>
        <w:rPr>
          <w:b w:val="0"/>
          <w:i w:val="0"/>
        </w:rPr>
        <w:t>Starting data</w:t>
      </w:r>
    </w:p>
    <w:p>
      <w:pPr/>
      <w:r>
        <w:rPr>
          <w:b w:val="0"/>
          <w:i w:val="0"/>
        </w:rPr>
        <w:t>Enter in the displayed units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Variable</w:t>
            </w:r>
          </w:p>
        </w:tc>
        <w:tc>
          <w:tcPr>
            <w:tcW w:type="dxa" w:w="3264"/>
            <w:vAlign w:val="center"/>
            <w:shd w:fill="E7EDF3"/>
          </w:tcPr>
          <w:p>
            <w:pPr>
              <w:keepNext/>
              <w:spacing w:after="100" w:before="100"/>
            </w:pPr>
            <w:r>
              <w:rPr>
                <w:b/>
                <w:i w:val="0"/>
                <w:sz w:val="20"/>
              </w:rPr>
              <w:t>Value</w:t>
            </w:r>
          </w:p>
        </w:tc>
        <w:tc>
          <w:tcPr>
            <w:tcW w:type="dxa" w:w="3264"/>
            <w:vAlign w:val="center"/>
            <w:shd w:fill="E7EDF3"/>
          </w:tcPr>
          <w:p>
            <w:pPr>
              <w:keepNext/>
              <w:spacing w:after="100" w:before="100"/>
            </w:pPr>
            <w:r>
              <w:rPr>
                <w:b/>
                <w:i w:val="0"/>
                <w:sz w:val="20"/>
              </w:rPr>
              <w:t>How it is used</w:t>
            </w:r>
          </w:p>
        </w:tc>
      </w:tr>
      <w:tr>
        <w:trPr>
          <w:cantSplit/>
        </w:trPr>
        <w:tc>
          <w:tcPr>
            <w:tcW w:type="dxa" w:w="3264"/>
            <w:vAlign w:val="center"/>
            <w:shd w:fill="FFFFFF"/>
          </w:tcPr>
          <w:p>
            <w:pPr>
              <w:spacing w:after="100" w:before="100"/>
            </w:pPr>
            <w:r>
              <w:rPr>
                <w:b w:val="0"/>
                <w:i w:val="0"/>
                <w:sz w:val="20"/>
              </w:rPr>
              <w:t>Ply E1 / E2 / G12</w:t>
            </w:r>
          </w:p>
        </w:tc>
        <w:tc>
          <w:tcPr>
            <w:tcW w:type="dxa" w:w="3264"/>
            <w:vAlign w:val="center"/>
            <w:shd w:fill="FFFFFF"/>
          </w:tcPr>
          <w:p>
            <w:pPr>
              <w:spacing w:after="100" w:before="100"/>
            </w:pPr>
            <w:r>
              <w:rPr>
                <w:b w:val="0"/>
                <w:i w:val="0"/>
                <w:sz w:val="20"/>
              </w:rPr>
              <w:t>153 / 10.5 / 8.27 GPa</w:t>
            </w:r>
          </w:p>
        </w:tc>
        <w:tc>
          <w:tcPr>
            <w:tcW w:type="dxa" w:w="3264"/>
            <w:vAlign w:val="center"/>
            <w:shd w:fill="FFFFFF"/>
          </w:tcPr>
          <w:p>
            <w:pPr>
              <w:spacing w:after="100" w:before="100"/>
            </w:pPr>
            <w:r>
              <w:rPr>
                <w:b w:val="0"/>
                <w:i w:val="0"/>
                <w:sz w:val="20"/>
              </w:rPr>
              <w:t>Orthotropic lamina elasticity</w:t>
            </w:r>
          </w:p>
        </w:tc>
      </w:tr>
      <w:tr>
        <w:trPr>
          <w:cantSplit/>
        </w:trPr>
        <w:tc>
          <w:tcPr>
            <w:tcW w:type="dxa" w:w="3264"/>
            <w:vAlign w:val="center"/>
            <w:shd w:fill="FFFFFF"/>
          </w:tcPr>
          <w:p>
            <w:pPr>
              <w:spacing w:after="100" w:before="100"/>
            </w:pPr>
            <w:r>
              <w:rPr>
                <w:b w:val="0"/>
                <w:i w:val="0"/>
                <w:sz w:val="20"/>
              </w:rPr>
              <w:t>Ply ν12</w:t>
            </w:r>
          </w:p>
        </w:tc>
        <w:tc>
          <w:tcPr>
            <w:tcW w:type="dxa" w:w="3264"/>
            <w:vAlign w:val="center"/>
            <w:shd w:fill="FFFFFF"/>
          </w:tcPr>
          <w:p>
            <w:pPr>
              <w:spacing w:after="100" w:before="100"/>
            </w:pPr>
            <w:r>
              <w:rPr>
                <w:b w:val="0"/>
                <w:i w:val="0"/>
                <w:sz w:val="20"/>
              </w:rPr>
              <w:t>0.30</w:t>
            </w:r>
          </w:p>
        </w:tc>
        <w:tc>
          <w:tcPr>
            <w:tcW w:type="dxa" w:w="3264"/>
            <w:vAlign w:val="center"/>
            <w:shd w:fill="FFFFFF"/>
          </w:tcPr>
          <w:p>
            <w:pPr>
              <w:spacing w:after="100" w:before="100"/>
            </w:pPr>
            <w:r>
              <w:rPr>
                <w:b w:val="0"/>
                <w:i w:val="0"/>
                <w:sz w:val="20"/>
              </w:rPr>
              <w:t>In-plane Poisson coupling</w:t>
            </w:r>
          </w:p>
        </w:tc>
      </w:tr>
      <w:tr>
        <w:trPr>
          <w:cantSplit/>
        </w:trPr>
        <w:tc>
          <w:tcPr>
            <w:tcW w:type="dxa" w:w="3264"/>
            <w:vAlign w:val="center"/>
            <w:shd w:fill="FFFFFF"/>
          </w:tcPr>
          <w:p>
            <w:pPr>
              <w:spacing w:after="100" w:before="100"/>
            </w:pPr>
            <w:r>
              <w:rPr>
                <w:b w:val="0"/>
                <w:i w:val="0"/>
                <w:sz w:val="20"/>
              </w:rPr>
              <w:t>Xt / Xc</w:t>
            </w:r>
          </w:p>
        </w:tc>
        <w:tc>
          <w:tcPr>
            <w:tcW w:type="dxa" w:w="3264"/>
            <w:vAlign w:val="center"/>
            <w:shd w:fill="FFFFFF"/>
          </w:tcPr>
          <w:p>
            <w:pPr>
              <w:spacing w:after="100" w:before="100"/>
            </w:pPr>
            <w:r>
              <w:rPr>
                <w:b w:val="0"/>
                <w:i w:val="0"/>
                <w:sz w:val="20"/>
              </w:rPr>
              <w:t>2760 / 781 MPa</w:t>
            </w:r>
          </w:p>
        </w:tc>
        <w:tc>
          <w:tcPr>
            <w:tcW w:type="dxa" w:w="3264"/>
            <w:vAlign w:val="center"/>
            <w:shd w:fill="FFFFFF"/>
          </w:tcPr>
          <w:p>
            <w:pPr>
              <w:spacing w:after="100" w:before="100"/>
            </w:pPr>
            <w:r>
              <w:rPr>
                <w:b w:val="0"/>
                <w:i w:val="0"/>
                <w:sz w:val="20"/>
              </w:rPr>
              <w:t>Longitudinal tension and compression</w:t>
            </w:r>
          </w:p>
        </w:tc>
      </w:tr>
      <w:tr>
        <w:trPr>
          <w:cantSplit/>
        </w:trPr>
        <w:tc>
          <w:tcPr>
            <w:tcW w:type="dxa" w:w="3264"/>
            <w:vAlign w:val="center"/>
            <w:shd w:fill="FFFFFF"/>
          </w:tcPr>
          <w:p>
            <w:pPr>
              <w:spacing w:after="100" w:before="100"/>
            </w:pPr>
            <w:r>
              <w:rPr>
                <w:b w:val="0"/>
                <w:i w:val="0"/>
                <w:sz w:val="20"/>
              </w:rPr>
              <w:t>Yt / Yc / S</w:t>
            </w:r>
          </w:p>
        </w:tc>
        <w:tc>
          <w:tcPr>
            <w:tcW w:type="dxa" w:w="3264"/>
            <w:vAlign w:val="center"/>
            <w:shd w:fill="FFFFFF"/>
          </w:tcPr>
          <w:p>
            <w:pPr>
              <w:spacing w:after="100" w:before="100"/>
            </w:pPr>
            <w:r>
              <w:rPr>
                <w:b w:val="0"/>
                <w:i w:val="0"/>
                <w:sz w:val="20"/>
              </w:rPr>
              <w:t>76.5 / 233 / 89.6 MPa</w:t>
            </w:r>
          </w:p>
        </w:tc>
        <w:tc>
          <w:tcPr>
            <w:tcW w:type="dxa" w:w="3264"/>
            <w:vAlign w:val="center"/>
            <w:shd w:fill="FFFFFF"/>
          </w:tcPr>
          <w:p>
            <w:pPr>
              <w:spacing w:after="100" w:before="100"/>
            </w:pPr>
            <w:r>
              <w:rPr>
                <w:b w:val="0"/>
                <w:i w:val="0"/>
                <w:sz w:val="20"/>
              </w:rPr>
              <w:t>Transverse and shear failure inputs</w:t>
            </w:r>
          </w:p>
        </w:tc>
      </w:tr>
      <w:tr>
        <w:trPr>
          <w:cantSplit/>
        </w:trPr>
        <w:tc>
          <w:tcPr>
            <w:tcW w:type="dxa" w:w="3264"/>
            <w:vAlign w:val="center"/>
            <w:shd w:fill="FFFFFF"/>
          </w:tcPr>
          <w:p>
            <w:pPr>
              <w:spacing w:after="100" w:before="100"/>
            </w:pPr>
            <w:r>
              <w:rPr>
                <w:b w:val="0"/>
                <w:i w:val="0"/>
                <w:sz w:val="20"/>
              </w:rPr>
              <w:t>Layup</w:t>
            </w:r>
          </w:p>
        </w:tc>
        <w:tc>
          <w:tcPr>
            <w:tcW w:type="dxa" w:w="3264"/>
            <w:vAlign w:val="center"/>
            <w:shd w:fill="FFFFFF"/>
          </w:tcPr>
          <w:p>
            <w:pPr>
              <w:spacing w:after="100" w:before="100"/>
            </w:pPr>
            <w:r>
              <w:rPr>
                <w:b w:val="0"/>
                <w:i w:val="0"/>
                <w:sz w:val="20"/>
              </w:rPr>
              <w:t>[+45/−45]₄</w:t>
            </w:r>
          </w:p>
        </w:tc>
        <w:tc>
          <w:tcPr>
            <w:tcW w:type="dxa" w:w="3264"/>
            <w:vAlign w:val="center"/>
            <w:shd w:fill="FFFFFF"/>
          </w:tcPr>
          <w:p>
            <w:pPr>
              <w:spacing w:after="100" w:before="100"/>
            </w:pPr>
            <w:r>
              <w:rPr>
                <w:b w:val="0"/>
                <w:i w:val="0"/>
                <w:sz w:val="20"/>
              </w:rPr>
              <w:t>Eight equal-thickness plies</w:t>
            </w:r>
          </w:p>
        </w:tc>
      </w:tr>
      <w:tr>
        <w:trPr>
          <w:cantSplit/>
        </w:trPr>
        <w:tc>
          <w:tcPr>
            <w:tcW w:type="dxa" w:w="3264"/>
            <w:vAlign w:val="center"/>
            <w:shd w:fill="FFFFFF"/>
          </w:tcPr>
          <w:p>
            <w:pPr>
              <w:spacing w:after="100" w:before="100"/>
            </w:pPr>
            <w:r>
              <w:rPr>
                <w:b w:val="0"/>
                <w:i w:val="0"/>
                <w:sz w:val="20"/>
              </w:rPr>
              <w:t>Tube OD / ID</w:t>
            </w:r>
          </w:p>
        </w:tc>
        <w:tc>
          <w:tcPr>
            <w:tcW w:type="dxa" w:w="3264"/>
            <w:vAlign w:val="center"/>
            <w:shd w:fill="FFFFFF"/>
          </w:tcPr>
          <w:p>
            <w:pPr>
              <w:spacing w:after="100" w:before="100"/>
            </w:pPr>
            <w:r>
              <w:rPr>
                <w:b w:val="0"/>
                <w:i w:val="0"/>
                <w:sz w:val="20"/>
              </w:rPr>
              <w:t>52.95 / 48.26 mm</w:t>
            </w:r>
          </w:p>
        </w:tc>
        <w:tc>
          <w:tcPr>
            <w:tcW w:type="dxa" w:w="3264"/>
            <w:vAlign w:val="center"/>
            <w:shd w:fill="FFFFFF"/>
          </w:tcPr>
          <w:p>
            <w:pPr>
              <w:spacing w:after="100" w:before="100"/>
            </w:pPr>
            <w:r>
              <w:rPr>
                <w:b w:val="0"/>
                <w:i w:val="0"/>
                <w:sz w:val="20"/>
              </w:rPr>
              <w:t>Nominal wall thickness and geometry</w:t>
            </w:r>
          </w:p>
        </w:tc>
      </w:tr>
    </w:tbl>
    <w:p>
      <w:pPr>
        <w:spacing w:after="0"/>
      </w:pPr>
    </w:p>
    <w:p>
      <w:pPr>
        <w:keepNext/>
      </w:pPr>
      <w:r>
        <w:rPr>
          <w:b w:val="0"/>
          <w:i w:val="0"/>
        </w:rPr>
        <w:t>Review checkpoints</w:t>
      </w:r>
    </w:p>
    <w:p>
      <w:pPr/>
      <w:r>
        <w:rPr>
          <w:b w:val="0"/>
          <w:i w:val="0"/>
        </w:rPr>
        <w:t>Comparison, not certification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Result</w:t>
            </w:r>
          </w:p>
        </w:tc>
        <w:tc>
          <w:tcPr>
            <w:tcW w:type="dxa" w:w="3264"/>
            <w:vAlign w:val="center"/>
            <w:shd w:fill="E7EDF3"/>
          </w:tcPr>
          <w:p>
            <w:pPr>
              <w:keepNext/>
              <w:spacing w:after="100" w:before="100"/>
            </w:pPr>
            <w:r>
              <w:rPr>
                <w:b/>
                <w:i w:val="0"/>
                <w:sz w:val="20"/>
              </w:rPr>
              <w:t>Published reference</w:t>
            </w:r>
          </w:p>
        </w:tc>
        <w:tc>
          <w:tcPr>
            <w:tcW w:type="dxa" w:w="3264"/>
            <w:vAlign w:val="center"/>
            <w:shd w:fill="E7EDF3"/>
          </w:tcPr>
          <w:p>
            <w:pPr>
              <w:keepNext/>
              <w:spacing w:after="100" w:before="100"/>
            </w:pPr>
            <w:r>
              <w:rPr>
                <w:b/>
                <w:i w:val="0"/>
                <w:sz w:val="20"/>
              </w:rPr>
              <w:t>Interpretation</w:t>
            </w:r>
          </w:p>
        </w:tc>
      </w:tr>
      <w:tr>
        <w:trPr>
          <w:cantSplit/>
        </w:trPr>
        <w:tc>
          <w:tcPr>
            <w:tcW w:type="dxa" w:w="3264"/>
            <w:vAlign w:val="center"/>
            <w:shd w:fill="FFFFFF"/>
          </w:tcPr>
          <w:p>
            <w:pPr>
              <w:spacing w:after="100" w:before="100"/>
            </w:pPr>
            <w:r>
              <w:rPr>
                <w:b w:val="0"/>
                <w:i w:val="0"/>
                <w:sz w:val="20"/>
              </w:rPr>
              <w:t>Axial modulus</w:t>
            </w:r>
          </w:p>
        </w:tc>
        <w:tc>
          <w:tcPr>
            <w:tcW w:type="dxa" w:w="3264"/>
            <w:vAlign w:val="center"/>
            <w:shd w:fill="FFFFFF"/>
          </w:tcPr>
          <w:p>
            <w:pPr>
              <w:spacing w:after="100" w:before="100"/>
            </w:pPr>
            <w:r>
              <w:rPr>
                <w:b w:val="0"/>
                <w:i w:val="0"/>
                <w:sz w:val="20"/>
              </w:rPr>
              <w:t>27.7 GPa</w:t>
            </w:r>
          </w:p>
        </w:tc>
        <w:tc>
          <w:tcPr>
            <w:tcW w:type="dxa" w:w="3264"/>
            <w:vAlign w:val="center"/>
            <w:shd w:fill="FFFFFF"/>
          </w:tcPr>
          <w:p>
            <w:pPr>
              <w:spacing w:after="100" w:before="100"/>
            </w:pPr>
            <w:r>
              <w:rPr>
                <w:b w:val="0"/>
                <w:i w:val="0"/>
                <w:sz w:val="20"/>
              </w:rPr>
              <w:t>Published thin-wall CLPT estimate</w:t>
            </w:r>
          </w:p>
        </w:tc>
      </w:tr>
      <w:tr>
        <w:trPr>
          <w:cantSplit/>
        </w:trPr>
        <w:tc>
          <w:tcPr>
            <w:tcW w:type="dxa" w:w="3264"/>
            <w:vAlign w:val="center"/>
            <w:shd w:fill="FFFFFF"/>
          </w:tcPr>
          <w:p>
            <w:pPr>
              <w:spacing w:after="100" w:before="100"/>
            </w:pPr>
            <w:r>
              <w:rPr>
                <w:b w:val="0"/>
                <w:i w:val="0"/>
                <w:sz w:val="20"/>
              </w:rPr>
              <w:t>Shear modulus</w:t>
            </w:r>
          </w:p>
        </w:tc>
        <w:tc>
          <w:tcPr>
            <w:tcW w:type="dxa" w:w="3264"/>
            <w:vAlign w:val="center"/>
            <w:shd w:fill="FFFFFF"/>
          </w:tcPr>
          <w:p>
            <w:pPr>
              <w:spacing w:after="100" w:before="100"/>
            </w:pPr>
            <w:r>
              <w:rPr>
                <w:b w:val="0"/>
                <w:i w:val="0"/>
                <w:sz w:val="20"/>
              </w:rPr>
              <w:t>39.6 GPa</w:t>
            </w:r>
          </w:p>
        </w:tc>
        <w:tc>
          <w:tcPr>
            <w:tcW w:type="dxa" w:w="3264"/>
            <w:vAlign w:val="center"/>
            <w:shd w:fill="FFFFFF"/>
          </w:tcPr>
          <w:p>
            <w:pPr>
              <w:spacing w:after="100" w:before="100"/>
            </w:pPr>
            <w:r>
              <w:rPr>
                <w:b w:val="0"/>
                <w:i w:val="0"/>
                <w:sz w:val="20"/>
              </w:rPr>
              <w:t>Published [±45]₄ laminate estimate</w:t>
            </w:r>
          </w:p>
        </w:tc>
      </w:tr>
      <w:tr>
        <w:trPr>
          <w:cantSplit/>
        </w:trPr>
        <w:tc>
          <w:tcPr>
            <w:tcW w:type="dxa" w:w="3264"/>
            <w:vAlign w:val="center"/>
            <w:shd w:fill="FFFFFF"/>
          </w:tcPr>
          <w:p>
            <w:pPr>
              <w:spacing w:after="100" w:before="100"/>
            </w:pPr>
            <w:r>
              <w:rPr>
                <w:b w:val="0"/>
                <w:i w:val="0"/>
                <w:sz w:val="20"/>
              </w:rPr>
              <w:t>Axial Poisson ratio</w:t>
            </w:r>
          </w:p>
        </w:tc>
        <w:tc>
          <w:tcPr>
            <w:tcW w:type="dxa" w:w="3264"/>
            <w:vAlign w:val="center"/>
            <w:shd w:fill="FFFFFF"/>
          </w:tcPr>
          <w:p>
            <w:pPr>
              <w:spacing w:after="100" w:before="100"/>
            </w:pPr>
            <w:r>
              <w:rPr>
                <w:b w:val="0"/>
                <w:i w:val="0"/>
                <w:sz w:val="20"/>
              </w:rPr>
              <w:t>0.68</w:t>
            </w:r>
          </w:p>
        </w:tc>
        <w:tc>
          <w:tcPr>
            <w:tcW w:type="dxa" w:w="3264"/>
            <w:vAlign w:val="center"/>
            <w:shd w:fill="FFFFFF"/>
          </w:tcPr>
          <w:p>
            <w:pPr>
              <w:spacing w:after="100" w:before="100"/>
            </w:pPr>
            <w:r>
              <w:rPr>
                <w:b w:val="0"/>
                <w:i w:val="0"/>
                <w:sz w:val="20"/>
              </w:rPr>
              <w:t>Large extension coupling expected for the angle-ply tube</w:t>
            </w:r>
          </w:p>
        </w:tc>
      </w:tr>
      <w:tr>
        <w:trPr>
          <w:cantSplit/>
        </w:trPr>
        <w:tc>
          <w:tcPr>
            <w:tcW w:type="dxa" w:w="3264"/>
            <w:vAlign w:val="center"/>
            <w:shd w:fill="FFFFFF"/>
          </w:tcPr>
          <w:p>
            <w:pPr>
              <w:spacing w:after="100" w:before="100"/>
            </w:pPr>
            <w:r>
              <w:rPr>
                <w:b w:val="0"/>
                <w:i w:val="0"/>
                <w:sz w:val="20"/>
              </w:rPr>
              <w:t>Tension / compression / torsion</w:t>
            </w:r>
          </w:p>
        </w:tc>
        <w:tc>
          <w:tcPr>
            <w:tcW w:type="dxa" w:w="3264"/>
            <w:vAlign w:val="center"/>
            <w:shd w:fill="FFFFFF"/>
          </w:tcPr>
          <w:p>
            <w:pPr>
              <w:spacing w:after="100" w:before="100"/>
            </w:pPr>
            <w:r>
              <w:rPr>
                <w:b w:val="0"/>
                <w:i w:val="0"/>
                <w:sz w:val="20"/>
              </w:rPr>
              <w:t>179 MPa / 176 MPa / 290 MPa</w:t>
            </w:r>
          </w:p>
        </w:tc>
        <w:tc>
          <w:tcPr>
            <w:tcW w:type="dxa" w:w="3264"/>
            <w:vAlign w:val="center"/>
            <w:shd w:fill="FFFFFF"/>
          </w:tcPr>
          <w:p>
            <w:pPr>
              <w:spacing w:after="100" w:before="100"/>
            </w:pPr>
            <w:r>
              <w:rPr>
                <w:b w:val="0"/>
                <w:i w:val="0"/>
                <w:sz w:val="20"/>
              </w:rPr>
              <w:t>Estimated laminate strengths, not qualified allowables</w:t>
            </w:r>
          </w:p>
        </w:tc>
      </w:tr>
    </w:tbl>
    <w:p>
      <w:pPr>
        <w:spacing w:after="0"/>
      </w:pPr>
    </w:p>
    <w:p>
      <w:pPr/>
      <w:hyperlink r:id="rId35">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Create the published T700/epoxy ply</w:t>
      </w:r>
    </w:p>
    <w:p>
      <w:pPr/>
      <w:r>
        <w:rPr>
          <w:b w:val="0"/>
          <w:i w:val="0"/>
        </w:rPr>
        <w:t>Create a separate orthotropic lamina record using the estimated ply properties reported by NASA.</w:t>
      </w:r>
    </w:p>
    <w:p>
      <w:pPr>
        <w:pStyle w:val="ListBullet"/>
      </w:pPr>
      <w:r>
        <w:rPr>
          <w:b w:val="0"/>
          <w:i w:val="0"/>
        </w:rPr>
        <w:t>Enter the elastic constants and five in-plane strength values from the table.</w:t>
      </w:r>
    </w:p>
    <w:p>
      <w:pPr>
        <w:pStyle w:val="ListBullet"/>
      </w:pPr>
      <w:r>
        <w:rPr>
          <w:b w:val="0"/>
          <w:i w:val="0"/>
        </w:rPr>
        <w:t>Set the record status to Representative and attach the NASA report as its source.</w:t>
      </w:r>
    </w:p>
    <w:p>
      <w:pPr>
        <w:pStyle w:val="ListBullet"/>
      </w:pPr>
      <w:r>
        <w:rPr>
          <w:b w:val="0"/>
          <w:i w:val="0"/>
        </w:rPr>
        <w:t>Keep out-of-plane and environmental terms incomplete unless a documented source is available.</w:t>
      </w:r>
    </w:p>
    <w:p>
      <w:pPr>
        <w:keepNext/>
      </w:pPr>
      <w:r>
        <w:t>Good practice</w:t>
      </w:r>
    </w:p>
    <w:p>
      <w:pPr/>
      <w:r>
        <w:rPr>
          <w:b w:val="0"/>
          <w:i w:val="0"/>
        </w:rPr>
        <w:t>The report describes these as best-guess T700/epoxy estimates because a complete property set for the experimental towpreg was unavailable.</w:t>
      </w:r>
    </w:p>
    <w:p>
      <w:pPr>
        <w:pStyle w:val="Heading2"/>
      </w:pPr>
      <w:r>
        <w:t>Build the balanced tube laminate</w:t>
      </w:r>
    </w:p>
    <w:p>
      <w:pPr/>
      <w:r>
        <w:rPr>
          <w:b w:val="0"/>
          <w:i w:val="0"/>
        </w:rPr>
        <w:t>Create eight plies in the sequence [45/−45]₄ with equal thickness.</w:t>
      </w:r>
    </w:p>
    <w:p>
      <w:pPr>
        <w:pStyle w:val="ListBullet"/>
      </w:pPr>
      <w:r>
        <w:rPr>
          <w:b w:val="0"/>
          <w:i w:val="0"/>
        </w:rPr>
        <w:t>Use the published OD and ID to calculate the nominal wall thickness: (52.95 − 48.26)/2 = 2.345 mm.</w:t>
      </w:r>
    </w:p>
    <w:p>
      <w:pPr>
        <w:pStyle w:val="ListBullet"/>
      </w:pPr>
      <w:r>
        <w:rPr>
          <w:b w:val="0"/>
          <w:i w:val="0"/>
        </w:rPr>
        <w:t>Set each of eight plies to approximately 0.2931 mm so the stack matches that nominal wall.</w:t>
      </w:r>
    </w:p>
    <w:p>
      <w:pPr>
        <w:pStyle w:val="ListBullet"/>
      </w:pPr>
      <w:r>
        <w:rPr>
          <w:b w:val="0"/>
          <w:i w:val="0"/>
        </w:rPr>
        <w:t>Confirm the LiveStack shows four balanced ±45 pairs and that A16 and A26 are near zero.</w:t>
      </w:r>
    </w:p>
    <w:p>
      <w:pPr>
        <w:pStyle w:val="Heading2"/>
      </w:pPr>
      <w:r>
        <w:t>Review effective laminate properties</w:t>
      </w:r>
    </w:p>
    <w:p>
      <w:pPr/>
      <w:r>
        <w:rPr>
          <w:b w:val="0"/>
          <w:i w:val="0"/>
        </w:rPr>
        <w:t>Run the laminate calculation and compare the axial modulus, in-plane shear modulus and major Poisson ratio with the published CLPT estimates.</w:t>
      </w:r>
    </w:p>
    <w:p>
      <w:pPr>
        <w:pStyle w:val="ListBullet"/>
      </w:pPr>
      <w:r>
        <w:rPr>
          <w:b w:val="0"/>
          <w:i w:val="0"/>
        </w:rPr>
        <w:t>Open the laminate Summary and export Ex, Gxy and νxy.</w:t>
      </w:r>
    </w:p>
    <w:p>
      <w:pPr>
        <w:pStyle w:val="ListBullet"/>
      </w:pPr>
      <w:r>
        <w:rPr>
          <w:b w:val="0"/>
          <w:i w:val="0"/>
        </w:rPr>
        <w:t>Record the absolute and percentage differences from 27.7 GPa, 39.6 GPa and 0.68.</w:t>
      </w:r>
    </w:p>
    <w:p>
      <w:pPr>
        <w:pStyle w:val="ListBullet"/>
      </w:pPr>
      <w:r>
        <w:rPr>
          <w:b w:val="0"/>
          <w:i w:val="0"/>
        </w:rPr>
        <w:t>Inspect whether the thickness convention or transverse shear treatment explains any discrepancy.</w:t>
      </w:r>
    </w:p>
    <w:p>
      <w:pPr>
        <w:pStyle w:val="Heading2"/>
      </w:pPr>
      <w:r>
        <w:t>Explore the design space without changing the benchmark</w:t>
      </w:r>
    </w:p>
    <w:p>
      <w:pPr/>
      <w:r>
        <w:rPr>
          <w:b w:val="0"/>
          <w:i w:val="0"/>
        </w:rPr>
        <w:t>Preserve the baseline, then use a duplicate for a carpet or optimization study.</w:t>
      </w:r>
    </w:p>
    <w:p>
      <w:pPr>
        <w:pStyle w:val="ListBullet"/>
      </w:pPr>
      <w:r>
        <w:rPr>
          <w:b w:val="0"/>
          <w:i w:val="0"/>
        </w:rPr>
        <w:t>Sweep the ±45 family while holding ply count, material and total wall thickness fixed.</w:t>
      </w:r>
    </w:p>
    <w:p>
      <w:pPr>
        <w:pStyle w:val="ListBullet"/>
      </w:pPr>
      <w:r>
        <w:rPr>
          <w:b w:val="0"/>
          <w:i w:val="0"/>
        </w:rPr>
        <w:t>Map axial modulus against shear modulus and display extrema.</w:t>
      </w:r>
    </w:p>
    <w:p>
      <w:pPr>
        <w:pStyle w:val="ListBullet"/>
      </w:pPr>
      <w:r>
        <w:rPr>
          <w:b w:val="0"/>
          <w:i w:val="0"/>
        </w:rPr>
        <w:t>Save the baseline and the best candidate as separate snapshots so the NASA configuration remains available for comparison.</w:t>
      </w:r>
    </w:p>
    <w:p>
      <w:pPr>
        <w:keepNext/>
      </w:pPr>
      <w:r>
        <w:t>Good practice</w:t>
      </w:r>
    </w:p>
    <w:p>
      <w:pPr/>
      <w:r>
        <w:rPr>
          <w:b w:val="0"/>
          <w:i w:val="0"/>
        </w:rPr>
        <w:t>A stiffness optimum is not automatically a strength, stability, fatigue or manufacturing optimum.</w:t>
      </w:r>
    </w:p>
    <w:p>
      <w:pPr>
        <w:pStyle w:val="Heading2"/>
      </w:pPr>
      <w:r>
        <w:t>Run a first-ply screening check</w:t>
      </w:r>
    </w:p>
    <w:p>
      <w:pPr/>
      <w:r>
        <w:rPr>
          <w:b w:val="0"/>
          <w:i w:val="0"/>
        </w:rPr>
        <w:t>Apply axial or torsional loading separately and compare the predicted onset with the report’s estimated laminate strengths.</w:t>
      </w:r>
    </w:p>
    <w:p>
      <w:pPr>
        <w:pStyle w:val="ListBullet"/>
      </w:pPr>
      <w:r>
        <w:rPr>
          <w:b w:val="0"/>
          <w:i w:val="0"/>
        </w:rPr>
        <w:t>Select a failure criterion supported by the available in-plane allowables.</w:t>
      </w:r>
    </w:p>
    <w:p>
      <w:pPr>
        <w:pStyle w:val="ListBullet"/>
      </w:pPr>
      <w:r>
        <w:rPr>
          <w:b w:val="0"/>
          <w:i w:val="0"/>
        </w:rPr>
        <w:t>Run axial tension, axial compression and torsion as separate cases.</w:t>
      </w:r>
    </w:p>
    <w:p>
      <w:pPr>
        <w:pStyle w:val="ListBullet"/>
      </w:pPr>
      <w:r>
        <w:rPr>
          <w:b w:val="0"/>
          <w:i w:val="0"/>
        </w:rPr>
        <w:t>Use the reported 179 MPa tension, 176 MPa compression and 290 MPa shear only as study checkpoints.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4" w:name="chapter_4"/>
      <w:pPr>
        <w:pStyle w:val="Heading1"/>
        <w:pageBreakBefore/>
      </w:pPr>
      <w:r>
        <w:t>4 Resolve a thick-panel cure cycle and exotherm</w:t>
      </w:r>
      <w:bookmarkEnd w:id="4"/>
    </w:p>
    <w:p>
      <w:pPr>
        <w:pStyle w:val="Caption"/>
      </w:pPr>
      <w:hyperlink r:id="rId42">
        <w:r>
          <w:rPr>
            <w:color w:val="176EA4"/>
          </w:rPr>
          <w:t>Online chapter</w:t>
        </w:r>
      </w:hyperlink>
      <w:r>
        <w:t xml:space="preserve"> </w:t>
      </w:r>
    </w:p>
    <w:p>
      <w:pPr/>
      <w:r>
        <w:rPr>
          <w:b w:val="0"/>
          <w:i w:val="0"/>
        </w:rPr>
        <w:t>Use a published T700S/TC380 oven schedule to examine thermal lag, reaction heat, cure state, evolving modulus, and cycle optimization.</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pStyle w:val="Caption"/>
      </w:pPr>
      <w:r>
        <w:rPr>
          <w:b w:val="0"/>
          <w:i w:val="0"/>
        </w:rPr>
        <w:t xml:space="preserve">Two-row simulation workflow · </w:t>
      </w:r>
      <w:hyperlink r:id="rId43">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4" name="Picture 4" descr="Resolve a thick-panel cure cycle and exotherm. two-row simulation workflow with connected input blocks, fatigue and optimization"/>
            <wp:cNvGraphicFramePr>
              <a:graphicFrameLocks noChangeAspect="1"/>
            </wp:cNvGraphicFramePr>
            <a:graphic>
              <a:graphicData uri="http://schemas.openxmlformats.org/drawingml/2006/picture">
                <pic:pic>
                  <pic:nvPicPr>
                    <pic:cNvPr id="0" name="rsvg-0e2c36d103de636a3218433314157c3d54103a2656b07ba8515859b5055d255d.png"/>
                    <pic:cNvPicPr/>
                  </pic:nvPicPr>
                  <pic:blipFill>
                    <a:blip r:embed="rId44"/>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1D transient heat transfer</w:t>
      </w:r>
      <w:r>
        <w:rPr>
          <w:b/>
          <w:i w:val="0"/>
        </w:rPr>
        <w:t xml:space="preserve"> </w:t>
      </w:r>
      <w:r>
        <w:rPr>
          <w:b/>
          <w:i w:val="0"/>
        </w:rPr>
        <w:t xml:space="preserve"> · </w:t>
      </w:r>
      <w:r>
        <w:rPr>
          <w:b/>
          <w:i w:val="0"/>
        </w:rPr>
        <w:t xml:space="preserve"> </w:t>
      </w:r>
      <w:r>
        <w:rPr>
          <w:b/>
          <w:i w:val="0"/>
        </w:rPr>
        <w:t>T700 Thermal Process · Thermal processing</w:t>
      </w:r>
    </w:p>
    <w:p>
      <w:pPr/>
      <w:r>
        <w:rPr>
          <w:b w:val="0"/>
          <w:i w:val="0"/>
        </w:rPr>
        <w:t>Needs linked laminate properties and a compatible process schedule. A linked cycle is not a solved temperature history.</w:t>
      </w:r>
    </w:p>
    <w:p>
      <w:hyperlink r:id="rId45">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Thermal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Thermal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starter resin and cycle are not TC380 calibration. The source supplies the schedule and measured checkpoints, but not all kinetics, heat-of-reaction or transport inputs. Source those inputs before a quantitative comparison.</w:t>
      </w:r>
    </w:p>
    <w:p>
      <w:pPr>
        <w:pStyle w:val="ListBullet"/>
      </w:pPr>
      <w:hyperlink r:id="rId46">
        <w:r>
          <w:rPr>
            <w:color w:val="176EA4"/>
          </w:rPr>
          <w:t>NASA — Evaluation of Temperature Gradients During Cure of a Thick Carbon Fiber/Epoxy Composite </w:t>
        </w:r>
      </w:hyperlink>
      <w:r>
        <w:t xml:space="preserve"> </w:t>
      </w:r>
      <w:r>
        <w:rPr>
          <w:b w:val="0"/>
          <w:i w:val="0"/>
        </w:rPr>
        <w:t>Source study identified; quantitative reproduction not established</w:t>
      </w:r>
      <w:r>
        <w:rPr>
          <w:b w:val="0"/>
          <w:i w:val="0"/>
        </w:rPr>
        <w:t xml:space="preserve"> </w:t>
      </w:r>
      <w:r>
        <w:rPr>
          <w:b w:val="0"/>
          <w:i w:val="0"/>
        </w:rPr>
        <w:t xml:space="preserve">. </w:t>
      </w:r>
      <w:r>
        <w:rPr>
          <w:b w:val="0"/>
          <w:i w:val="0"/>
        </w:rPr>
        <w:t xml:space="preserve"> </w:t>
      </w:r>
      <w:r>
        <w:rPr>
          <w:b w:val="0"/>
          <w:i w:val="0"/>
        </w:rPr>
        <w:t>TC380 kinetics, reaction heat, transport, boundary characterization and digitized measurements still required.</w:t>
      </w:r>
      <w:r>
        <w:t xml:space="preserve"> </w:t>
      </w:r>
    </w:p>
    <w:p>
      <w:pPr>
        <w:pStyle w:val="Heading3"/>
      </w:pPr>
      <w:r>
        <w:t>Tested inputs</w:t>
      </w:r>
    </w:p>
    <w:p>
      <w:pPr/>
      <w:r>
        <w:rPr>
          <w:b w:val="0"/>
          <w:i w:val="0"/>
        </w:rPr>
        <w:t xml:space="preserve">Input SHA-256: </w:t>
      </w:r>
      <w:r>
        <w:rPr>
          <w:b w:val="0"/>
          <w:i w:val="0"/>
        </w:rPr>
        <w:t xml:space="preserve"> </w:t>
      </w:r>
      <w:r>
        <w:rPr>
          <w:b w:val="0"/>
          <w:i w:val="0"/>
        </w:rPr>
        <w:t>bf765b769c16e22bd102d6e21b2eabccdfbb0052ff58ca608a19c3e6bd41f127</w:t>
      </w:r>
      <w:r>
        <w:br/>
      </w:r>
      <w:r>
        <w:rPr>
          <w:b w:val="0"/>
          <w:i w:val="0"/>
        </w:rPr>
        <w:t xml:space="preserve">Solver source SHA-256: </w:t>
      </w:r>
      <w:r>
        <w:rPr>
          <w:b w:val="0"/>
          <w:i w:val="0"/>
        </w:rPr>
        <w:t xml:space="preserve"> </w:t>
      </w:r>
      <w:r>
        <w:rPr>
          <w:b w:val="0"/>
          <w:i w:val="0"/>
        </w:rPr>
        <w:t>30c8a614b6cb004a26da8adaf8ab7c534c37c4d534836921939f35a549e1bcc5</w:t>
      </w:r>
    </w:p>
    <w:p>
      <w:pPr>
        <w:pStyle w:val="ListBullet"/>
      </w:pPr>
      <w:r>
        <w:rPr>
          <w:b w:val="0"/>
          <w:i w:val="0"/>
        </w:rPr>
        <w:t>One-dimensional through-thickness study, not oven airflow or a general 3D process model. Missing TC380 calibration remains a setup requirement, never a default validated result.</w:t>
      </w:r>
    </w:p>
    <w:p>
      <w:pPr/>
      <w:hyperlink r:id="rId47">
        <w:r>
          <w:rPr>
            <w:color w:val="176EA4"/>
          </w:rPr>
          <w:t>Download source-validation evidence (JSON)</w:t>
        </w:r>
      </w:hyperlink>
      <w:r>
        <w:t xml:space="preserve"> </w:t>
      </w:r>
      <w:r>
        <w:rPr>
          <w:b w:val="0"/>
          <w:i w:val="0"/>
        </w:rPr>
        <w:t xml:space="preserve"> · </w:t>
      </w:r>
      <w:hyperlink r:id="rId25">
        <w:r>
          <w:rPr>
            <w:color w:val="176EA4"/>
          </w:rPr>
          <w:t>Full 104 -exercise study</w:t>
        </w:r>
      </w:hyperlink>
      <w:r>
        <w:t xml:space="preserve"> </w:t>
      </w:r>
    </w:p>
    <w:p>
      <w:pPr>
        <w:keepNext/>
      </w:pPr>
      <w:r>
        <w:rPr>
          <w:b w:val="0"/>
          <w:i w:val="0"/>
        </w:rPr>
        <w:t>Objective</w:t>
      </w:r>
    </w:p>
    <w:p>
      <w:pPr/>
      <w:r>
        <w:rPr>
          <w:b w:val="0"/>
          <w:i w:val="0"/>
        </w:rPr>
        <w:t>Model a 40-ply, 25.4 mm T700S/TC380 panel through a two-stage oven cure and determine how core lag and cure exotherm change the process window.</w:t>
      </w:r>
    </w:p>
    <w:p>
      <w:pPr/>
      <w:r>
        <w:rPr>
          <w:b w:val="0"/>
          <w:i w:val="0"/>
        </w:rPr>
        <w:t>CDS scope</w:t>
      </w:r>
    </w:p>
    <w:p>
      <w:pPr/>
      <w:r>
        <w:rPr>
          <w:b w:val="0"/>
          <w:i w:val="0"/>
        </w:rPr>
        <w:t>CDS reproduces a one-dimensional through-thickness process study. The NASA experiment supplies the cycle and thermal checkpoints; separate qualified data are required for kinetics, reaction heat and transport.</w:t>
      </w:r>
    </w:p>
    <w:p>
      <w:pPr/>
      <w:r>
        <w:rPr>
          <w:b w:val="0"/>
          <w:i w:val="0"/>
        </w:rPr>
        <w:t>Published basis</w:t>
      </w:r>
    </w:p>
    <w:p>
      <w:pPr/>
      <w:r>
        <w:rPr>
          <w:b w:val="0"/>
          <w:i w:val="0"/>
        </w:rPr>
        <w:t>2</w:t>
      </w:r>
      <w:r>
        <w:rPr>
          <w:b w:val="0"/>
          <w:i w:val="0"/>
        </w:rPr>
        <w:t xml:space="preserve"> </w:t>
      </w:r>
      <w:r>
        <w:rPr>
          <w:b w:val="0"/>
          <w:i w:val="0"/>
        </w:rPr>
        <w:t xml:space="preserve"> primary </w:t>
      </w:r>
      <w:r>
        <w:rPr>
          <w:b w:val="0"/>
          <w:i w:val="0"/>
        </w:rPr>
        <w:t xml:space="preserve"> </w:t>
      </w:r>
      <w:r>
        <w:rPr>
          <w:b w:val="0"/>
          <w:i w:val="0"/>
        </w:rPr>
        <w:t>sources</w:t>
      </w:r>
    </w:p>
    <w:p>
      <w:pPr/>
      <w:r>
        <w:rPr>
          <w:b w:val="0"/>
          <w:i w:val="0"/>
        </w:rPr>
        <w:t>NASA GRC-E-DAA-TN70457</w:t>
      </w:r>
    </w:p>
    <w:p>
      <w:r>
        <w:t>Evaluation of Temperature Gradients During Cure of a Thick Carbon Fiber/Epoxy Composite</w:t>
      </w:r>
    </w:p>
    <w:p>
      <w:pPr/>
      <w:r>
        <w:rPr>
          <w:b w:val="0"/>
          <w:i w:val="0"/>
        </w:rPr>
        <w:t>Reports T700S/TC380 braided panels, the recommended two-stage cure cycle, embedded thermocouples, exotherm, and through-thickness conversion differences.</w:t>
      </w:r>
    </w:p>
    <w:p>
      <w:pPr/>
      <w:r>
        <w:rPr>
          <w:b w:val="0"/>
          <w:i w:val="0"/>
        </w:rPr>
        <w:t>NASA Tech Briefs</w:t>
      </w:r>
    </w:p>
    <w:p>
      <w:r>
        <w:t>Designing Cure Cycles for Matrix/Fiber Composite Parts</w:t>
      </w:r>
    </w:p>
    <w:p>
      <w:pPr/>
      <w:r>
        <w:rPr>
          <w:b w:val="0"/>
          <w:i w:val="0"/>
        </w:rPr>
        <w:t>Describes two-stage ramp-and-hold cure-cycle design as an optimization problem rather than trial and error.</w:t>
      </w:r>
    </w:p>
    <w:p>
      <w:pPr/>
      <w:r>
        <w:rPr>
          <w:b w:val="0"/>
          <w:i w:val="0"/>
        </w:rPr>
        <w:t>Starting data</w:t>
      </w:r>
    </w:p>
    <w:p>
      <w:pPr/>
      <w:r>
        <w:rPr>
          <w:b w:val="0"/>
          <w:i w:val="0"/>
        </w:rPr>
        <w:t>Enter in the displayed units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Variable</w:t>
            </w:r>
          </w:p>
        </w:tc>
        <w:tc>
          <w:tcPr>
            <w:tcW w:type="dxa" w:w="3264"/>
            <w:vAlign w:val="center"/>
            <w:shd w:fill="E7EDF3"/>
          </w:tcPr>
          <w:p>
            <w:pPr>
              <w:keepNext/>
              <w:spacing w:after="100" w:before="100"/>
            </w:pPr>
            <w:r>
              <w:rPr>
                <w:b/>
                <w:i w:val="0"/>
                <w:sz w:val="20"/>
              </w:rPr>
              <w:t>Value</w:t>
            </w:r>
          </w:p>
        </w:tc>
        <w:tc>
          <w:tcPr>
            <w:tcW w:type="dxa" w:w="3264"/>
            <w:vAlign w:val="center"/>
            <w:shd w:fill="E7EDF3"/>
          </w:tcPr>
          <w:p>
            <w:pPr>
              <w:keepNext/>
              <w:spacing w:after="100" w:before="100"/>
            </w:pPr>
            <w:r>
              <w:rPr>
                <w:b/>
                <w:i w:val="0"/>
                <w:sz w:val="20"/>
              </w:rPr>
              <w:t>How it is used</w:t>
            </w:r>
          </w:p>
        </w:tc>
      </w:tr>
      <w:tr>
        <w:trPr>
          <w:cantSplit/>
        </w:trPr>
        <w:tc>
          <w:tcPr>
            <w:tcW w:type="dxa" w:w="3264"/>
            <w:vAlign w:val="center"/>
            <w:shd w:fill="FFFFFF"/>
          </w:tcPr>
          <w:p>
            <w:pPr>
              <w:spacing w:after="100" w:before="100"/>
            </w:pPr>
            <w:r>
              <w:rPr>
                <w:b w:val="0"/>
                <w:i w:val="0"/>
                <w:sz w:val="20"/>
              </w:rPr>
              <w:t>Panel</w:t>
            </w:r>
          </w:p>
        </w:tc>
        <w:tc>
          <w:tcPr>
            <w:tcW w:type="dxa" w:w="3264"/>
            <w:vAlign w:val="center"/>
            <w:shd w:fill="FFFFFF"/>
          </w:tcPr>
          <w:p>
            <w:pPr>
              <w:spacing w:after="100" w:before="100"/>
            </w:pPr>
            <w:r>
              <w:rPr>
                <w:b w:val="0"/>
                <w:i w:val="0"/>
                <w:sz w:val="20"/>
              </w:rPr>
              <w:t>40 plies; 25.4 mm</w:t>
            </w:r>
          </w:p>
        </w:tc>
        <w:tc>
          <w:tcPr>
            <w:tcW w:type="dxa" w:w="3264"/>
            <w:vAlign w:val="center"/>
            <w:shd w:fill="FFFFFF"/>
          </w:tcPr>
          <w:p>
            <w:pPr>
              <w:spacing w:after="100" w:before="100"/>
            </w:pPr>
            <w:r>
              <w:rPr>
                <w:b w:val="0"/>
                <w:i w:val="0"/>
                <w:sz w:val="20"/>
              </w:rPr>
              <w:t>Published 1 inch thick comparison case</w:t>
            </w:r>
          </w:p>
        </w:tc>
      </w:tr>
      <w:tr>
        <w:trPr>
          <w:cantSplit/>
        </w:trPr>
        <w:tc>
          <w:tcPr>
            <w:tcW w:type="dxa" w:w="3264"/>
            <w:vAlign w:val="center"/>
            <w:shd w:fill="FFFFFF"/>
          </w:tcPr>
          <w:p>
            <w:pPr>
              <w:spacing w:after="100" w:before="100"/>
            </w:pPr>
            <w:r>
              <w:rPr>
                <w:b w:val="0"/>
                <w:i w:val="0"/>
                <w:sz w:val="20"/>
              </w:rPr>
              <w:t>Ramp 1</w:t>
            </w:r>
          </w:p>
        </w:tc>
        <w:tc>
          <w:tcPr>
            <w:tcW w:type="dxa" w:w="3264"/>
            <w:vAlign w:val="center"/>
            <w:shd w:fill="FFFFFF"/>
          </w:tcPr>
          <w:p>
            <w:pPr>
              <w:spacing w:after="100" w:before="100"/>
            </w:pPr>
            <w:r>
              <w:rPr>
                <w:b w:val="0"/>
                <w:i w:val="0"/>
                <w:sz w:val="20"/>
              </w:rPr>
              <w:t>Room temperature → 107°C at 1.1°C/min</w:t>
            </w:r>
          </w:p>
        </w:tc>
        <w:tc>
          <w:tcPr>
            <w:tcW w:type="dxa" w:w="3264"/>
            <w:vAlign w:val="center"/>
            <w:shd w:fill="FFFFFF"/>
          </w:tcPr>
          <w:p>
            <w:pPr>
              <w:spacing w:after="100" w:before="100"/>
            </w:pPr>
            <w:r>
              <w:rPr>
                <w:b w:val="0"/>
                <w:i w:val="0"/>
                <w:sz w:val="20"/>
              </w:rPr>
              <w:t>First oven segment</w:t>
            </w:r>
          </w:p>
        </w:tc>
      </w:tr>
      <w:tr>
        <w:trPr>
          <w:cantSplit/>
        </w:trPr>
        <w:tc>
          <w:tcPr>
            <w:tcW w:type="dxa" w:w="3264"/>
            <w:vAlign w:val="center"/>
            <w:shd w:fill="FFFFFF"/>
          </w:tcPr>
          <w:p>
            <w:pPr>
              <w:spacing w:after="100" w:before="100"/>
            </w:pPr>
            <w:r>
              <w:rPr>
                <w:b w:val="0"/>
                <w:i w:val="0"/>
                <w:sz w:val="20"/>
              </w:rPr>
              <w:t>Dwell 1</w:t>
            </w:r>
          </w:p>
        </w:tc>
        <w:tc>
          <w:tcPr>
            <w:tcW w:type="dxa" w:w="3264"/>
            <w:vAlign w:val="center"/>
            <w:shd w:fill="FFFFFF"/>
          </w:tcPr>
          <w:p>
            <w:pPr>
              <w:spacing w:after="100" w:before="100"/>
            </w:pPr>
            <w:r>
              <w:rPr>
                <w:b w:val="0"/>
                <w:i w:val="0"/>
                <w:sz w:val="20"/>
              </w:rPr>
              <w:t>107°C for 60 min</w:t>
            </w:r>
          </w:p>
        </w:tc>
        <w:tc>
          <w:tcPr>
            <w:tcW w:type="dxa" w:w="3264"/>
            <w:vAlign w:val="center"/>
            <w:shd w:fill="FFFFFF"/>
          </w:tcPr>
          <w:p>
            <w:pPr>
              <w:spacing w:after="100" w:before="100"/>
            </w:pPr>
            <w:r>
              <w:rPr>
                <w:b w:val="0"/>
                <w:i w:val="0"/>
                <w:sz w:val="20"/>
              </w:rPr>
              <w:t>Intermediate hold</w:t>
            </w:r>
          </w:p>
        </w:tc>
      </w:tr>
      <w:tr>
        <w:trPr>
          <w:cantSplit/>
        </w:trPr>
        <w:tc>
          <w:tcPr>
            <w:tcW w:type="dxa" w:w="3264"/>
            <w:vAlign w:val="center"/>
            <w:shd w:fill="FFFFFF"/>
          </w:tcPr>
          <w:p>
            <w:pPr>
              <w:spacing w:after="100" w:before="100"/>
            </w:pPr>
            <w:r>
              <w:rPr>
                <w:b w:val="0"/>
                <w:i w:val="0"/>
                <w:sz w:val="20"/>
              </w:rPr>
              <w:t>Ramp 2</w:t>
            </w:r>
          </w:p>
        </w:tc>
        <w:tc>
          <w:tcPr>
            <w:tcW w:type="dxa" w:w="3264"/>
            <w:vAlign w:val="center"/>
            <w:shd w:fill="FFFFFF"/>
          </w:tcPr>
          <w:p>
            <w:pPr>
              <w:spacing w:after="100" w:before="100"/>
            </w:pPr>
            <w:r>
              <w:rPr>
                <w:b w:val="0"/>
                <w:i w:val="0"/>
                <w:sz w:val="20"/>
              </w:rPr>
              <w:t>107°C → 180°C at 1.1°C/min</w:t>
            </w:r>
          </w:p>
        </w:tc>
        <w:tc>
          <w:tcPr>
            <w:tcW w:type="dxa" w:w="3264"/>
            <w:vAlign w:val="center"/>
            <w:shd w:fill="FFFFFF"/>
          </w:tcPr>
          <w:p>
            <w:pPr>
              <w:spacing w:after="100" w:before="100"/>
            </w:pPr>
            <w:r>
              <w:rPr>
                <w:b w:val="0"/>
                <w:i w:val="0"/>
                <w:sz w:val="20"/>
              </w:rPr>
              <w:t>Second oven segment</w:t>
            </w:r>
          </w:p>
        </w:tc>
      </w:tr>
      <w:tr>
        <w:trPr>
          <w:cantSplit/>
        </w:trPr>
        <w:tc>
          <w:tcPr>
            <w:tcW w:type="dxa" w:w="3264"/>
            <w:vAlign w:val="center"/>
            <w:shd w:fill="FFFFFF"/>
          </w:tcPr>
          <w:p>
            <w:pPr>
              <w:spacing w:after="100" w:before="100"/>
            </w:pPr>
            <w:r>
              <w:rPr>
                <w:b w:val="0"/>
                <w:i w:val="0"/>
                <w:sz w:val="20"/>
              </w:rPr>
              <w:t>Dwell 2</w:t>
            </w:r>
          </w:p>
        </w:tc>
        <w:tc>
          <w:tcPr>
            <w:tcW w:type="dxa" w:w="3264"/>
            <w:vAlign w:val="center"/>
            <w:shd w:fill="FFFFFF"/>
          </w:tcPr>
          <w:p>
            <w:pPr>
              <w:spacing w:after="100" w:before="100"/>
            </w:pPr>
            <w:r>
              <w:rPr>
                <w:b w:val="0"/>
                <w:i w:val="0"/>
                <w:sz w:val="20"/>
              </w:rPr>
              <w:t>180°C for 120 min</w:t>
            </w:r>
          </w:p>
        </w:tc>
        <w:tc>
          <w:tcPr>
            <w:tcW w:type="dxa" w:w="3264"/>
            <w:vAlign w:val="center"/>
            <w:shd w:fill="FFFFFF"/>
          </w:tcPr>
          <w:p>
            <w:pPr>
              <w:spacing w:after="100" w:before="100"/>
            </w:pPr>
            <w:r>
              <w:rPr>
                <w:b w:val="0"/>
                <w:i w:val="0"/>
                <w:sz w:val="20"/>
              </w:rPr>
              <w:t>High-temperature hold</w:t>
            </w:r>
          </w:p>
        </w:tc>
      </w:tr>
      <w:tr>
        <w:trPr>
          <w:cantSplit/>
        </w:trPr>
        <w:tc>
          <w:tcPr>
            <w:tcW w:type="dxa" w:w="3264"/>
            <w:vAlign w:val="center"/>
            <w:shd w:fill="FFFFFF"/>
          </w:tcPr>
          <w:p>
            <w:pPr>
              <w:spacing w:after="100" w:before="100"/>
            </w:pPr>
            <w:r>
              <w:rPr>
                <w:b w:val="0"/>
                <w:i w:val="0"/>
                <w:sz w:val="20"/>
              </w:rPr>
              <w:t>Cool</w:t>
            </w:r>
          </w:p>
        </w:tc>
        <w:tc>
          <w:tcPr>
            <w:tcW w:type="dxa" w:w="3264"/>
            <w:vAlign w:val="center"/>
            <w:shd w:fill="FFFFFF"/>
          </w:tcPr>
          <w:p>
            <w:pPr>
              <w:spacing w:after="100" w:before="100"/>
            </w:pPr>
            <w:r>
              <w:rPr>
                <w:b w:val="0"/>
                <w:i w:val="0"/>
                <w:sz w:val="20"/>
              </w:rPr>
              <w:t>≤ 3°C/min to &lt; 49°C</w:t>
            </w:r>
          </w:p>
        </w:tc>
        <w:tc>
          <w:tcPr>
            <w:tcW w:type="dxa" w:w="3264"/>
            <w:vAlign w:val="center"/>
            <w:shd w:fill="FFFFFF"/>
          </w:tcPr>
          <w:p>
            <w:pPr>
              <w:spacing w:after="100" w:before="100"/>
            </w:pPr>
            <w:r>
              <w:rPr>
                <w:b w:val="0"/>
                <w:i w:val="0"/>
                <w:sz w:val="20"/>
              </w:rPr>
              <w:t>Controlled cooldown</w:t>
            </w:r>
          </w:p>
        </w:tc>
      </w:tr>
    </w:tbl>
    <w:p>
      <w:pPr>
        <w:spacing w:after="0"/>
      </w:pPr>
    </w:p>
    <w:p>
      <w:pPr>
        <w:keepNext/>
      </w:pPr>
      <w:r>
        <w:rPr>
          <w:b w:val="0"/>
          <w:i w:val="0"/>
        </w:rPr>
        <w:t>Review checkpoints</w:t>
      </w:r>
    </w:p>
    <w:p>
      <w:pPr/>
      <w:r>
        <w:rPr>
          <w:b w:val="0"/>
          <w:i w:val="0"/>
        </w:rPr>
        <w:t>Comparison, not certification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Result</w:t>
            </w:r>
          </w:p>
        </w:tc>
        <w:tc>
          <w:tcPr>
            <w:tcW w:type="dxa" w:w="3264"/>
            <w:vAlign w:val="center"/>
            <w:shd w:fill="E7EDF3"/>
          </w:tcPr>
          <w:p>
            <w:pPr>
              <w:keepNext/>
              <w:spacing w:after="100" w:before="100"/>
            </w:pPr>
            <w:r>
              <w:rPr>
                <w:b/>
                <w:i w:val="0"/>
                <w:sz w:val="20"/>
              </w:rPr>
              <w:t>Published reference</w:t>
            </w:r>
          </w:p>
        </w:tc>
        <w:tc>
          <w:tcPr>
            <w:tcW w:type="dxa" w:w="3264"/>
            <w:vAlign w:val="center"/>
            <w:shd w:fill="E7EDF3"/>
          </w:tcPr>
          <w:p>
            <w:pPr>
              <w:keepNext/>
              <w:spacing w:after="100" w:before="100"/>
            </w:pPr>
            <w:r>
              <w:rPr>
                <w:b/>
                <w:i w:val="0"/>
                <w:sz w:val="20"/>
              </w:rPr>
              <w:t>Interpretation</w:t>
            </w:r>
          </w:p>
        </w:tc>
      </w:tr>
      <w:tr>
        <w:trPr>
          <w:cantSplit/>
        </w:trPr>
        <w:tc>
          <w:tcPr>
            <w:tcW w:type="dxa" w:w="3264"/>
            <w:vAlign w:val="center"/>
            <w:shd w:fill="FFFFFF"/>
          </w:tcPr>
          <w:p>
            <w:pPr>
              <w:spacing w:after="100" w:before="100"/>
            </w:pPr>
            <w:r>
              <w:rPr>
                <w:b w:val="0"/>
                <w:i w:val="0"/>
                <w:sz w:val="20"/>
              </w:rPr>
              <w:t>40-ply exotherm above commanded cure temperature</w:t>
            </w:r>
          </w:p>
        </w:tc>
        <w:tc>
          <w:tcPr>
            <w:tcW w:type="dxa" w:w="3264"/>
            <w:vAlign w:val="center"/>
            <w:shd w:fill="FFFFFF"/>
          </w:tcPr>
          <w:p>
            <w:pPr>
              <w:spacing w:after="100" w:before="100"/>
            </w:pPr>
            <w:r>
              <w:rPr>
                <w:b w:val="0"/>
                <w:i w:val="0"/>
                <w:sz w:val="20"/>
              </w:rPr>
              <w:t>18°F ≈ 10°C</w:t>
            </w:r>
          </w:p>
        </w:tc>
        <w:tc>
          <w:tcPr>
            <w:tcW w:type="dxa" w:w="3264"/>
            <w:vAlign w:val="center"/>
            <w:shd w:fill="FFFFFF"/>
          </w:tcPr>
          <w:p>
            <w:pPr>
              <w:spacing w:after="100" w:before="100"/>
            </w:pPr>
            <w:r>
              <w:rPr>
                <w:b w:val="0"/>
                <w:i w:val="0"/>
                <w:sz w:val="20"/>
              </w:rPr>
              <w:t>Published measured overshoot for the 40-ply panel</w:t>
            </w:r>
          </w:p>
        </w:tc>
      </w:tr>
      <w:tr>
        <w:trPr>
          <w:cantSplit/>
        </w:trPr>
        <w:tc>
          <w:tcPr>
            <w:tcW w:type="dxa" w:w="3264"/>
            <w:vAlign w:val="center"/>
            <w:shd w:fill="FFFFFF"/>
          </w:tcPr>
          <w:p>
            <w:pPr>
              <w:spacing w:after="100" w:before="100"/>
            </w:pPr>
            <w:r>
              <w:rPr>
                <w:b w:val="0"/>
                <w:i w:val="0"/>
                <w:sz w:val="20"/>
              </w:rPr>
              <w:t>Maximum through-thickness variation</w:t>
            </w:r>
          </w:p>
        </w:tc>
        <w:tc>
          <w:tcPr>
            <w:tcW w:type="dxa" w:w="3264"/>
            <w:vAlign w:val="center"/>
            <w:shd w:fill="FFFFFF"/>
          </w:tcPr>
          <w:p>
            <w:pPr>
              <w:spacing w:after="100" w:before="100"/>
            </w:pPr>
            <w:r>
              <w:rPr>
                <w:b w:val="0"/>
                <w:i w:val="0"/>
                <w:sz w:val="20"/>
              </w:rPr>
              <w:t>≤ 10°C</w:t>
            </w:r>
          </w:p>
        </w:tc>
        <w:tc>
          <w:tcPr>
            <w:tcW w:type="dxa" w:w="3264"/>
            <w:vAlign w:val="center"/>
            <w:shd w:fill="FFFFFF"/>
          </w:tcPr>
          <w:p>
            <w:pPr>
              <w:spacing w:after="100" w:before="100"/>
            </w:pPr>
            <w:r>
              <w:rPr>
                <w:b w:val="0"/>
                <w:i w:val="0"/>
                <w:sz w:val="20"/>
              </w:rPr>
              <w:t>Reported across the tested thicknesses</w:t>
            </w:r>
          </w:p>
        </w:tc>
      </w:tr>
      <w:tr>
        <w:trPr>
          <w:cantSplit/>
        </w:trPr>
        <w:tc>
          <w:tcPr>
            <w:tcW w:type="dxa" w:w="3264"/>
            <w:vAlign w:val="center"/>
            <w:shd w:fill="FFFFFF"/>
          </w:tcPr>
          <w:p>
            <w:pPr>
              <w:spacing w:after="100" w:before="100"/>
            </w:pPr>
            <w:r>
              <w:rPr>
                <w:b w:val="0"/>
                <w:i w:val="0"/>
                <w:sz w:val="20"/>
              </w:rPr>
              <w:t>At 180°C: center conversion</w:t>
            </w:r>
          </w:p>
        </w:tc>
        <w:tc>
          <w:tcPr>
            <w:tcW w:type="dxa" w:w="3264"/>
            <w:vAlign w:val="center"/>
            <w:shd w:fill="FFFFFF"/>
          </w:tcPr>
          <w:p>
            <w:pPr>
              <w:spacing w:after="100" w:before="100"/>
            </w:pPr>
            <w:r>
              <w:rPr>
                <w:b w:val="0"/>
                <w:i w:val="0"/>
                <w:sz w:val="20"/>
              </w:rPr>
              <w:t>approximately 85%</w:t>
            </w:r>
          </w:p>
        </w:tc>
        <w:tc>
          <w:tcPr>
            <w:tcW w:type="dxa" w:w="3264"/>
            <w:vAlign w:val="center"/>
            <w:shd w:fill="FFFFFF"/>
          </w:tcPr>
          <w:p>
            <w:pPr>
              <w:spacing w:after="100" w:before="100"/>
            </w:pPr>
            <w:r>
              <w:rPr>
                <w:b w:val="0"/>
                <w:i w:val="0"/>
                <w:sz w:val="20"/>
              </w:rPr>
              <w:t>Published estimate at onset of vitrification</w:t>
            </w:r>
          </w:p>
        </w:tc>
      </w:tr>
      <w:tr>
        <w:trPr>
          <w:cantSplit/>
        </w:trPr>
        <w:tc>
          <w:tcPr>
            <w:tcW w:type="dxa" w:w="3264"/>
            <w:vAlign w:val="center"/>
            <w:shd w:fill="FFFFFF"/>
          </w:tcPr>
          <w:p>
            <w:pPr>
              <w:spacing w:after="100" w:before="100"/>
            </w:pPr>
            <w:r>
              <w:rPr>
                <w:b w:val="0"/>
                <w:i w:val="0"/>
                <w:sz w:val="20"/>
              </w:rPr>
              <w:t>At 170°C: tool-side conversion</w:t>
            </w:r>
          </w:p>
        </w:tc>
        <w:tc>
          <w:tcPr>
            <w:tcW w:type="dxa" w:w="3264"/>
            <w:vAlign w:val="center"/>
            <w:shd w:fill="FFFFFF"/>
          </w:tcPr>
          <w:p>
            <w:pPr>
              <w:spacing w:after="100" w:before="100"/>
            </w:pPr>
            <w:r>
              <w:rPr>
                <w:b w:val="0"/>
                <w:i w:val="0"/>
                <w:sz w:val="20"/>
              </w:rPr>
              <w:t>approximately 68%</w:t>
            </w:r>
          </w:p>
        </w:tc>
        <w:tc>
          <w:tcPr>
            <w:tcW w:type="dxa" w:w="3264"/>
            <w:vAlign w:val="center"/>
            <w:shd w:fill="FFFFFF"/>
          </w:tcPr>
          <w:p>
            <w:pPr>
              <w:spacing w:after="100" w:before="100"/>
            </w:pPr>
            <w:r>
              <w:rPr>
                <w:b w:val="0"/>
                <w:i w:val="0"/>
                <w:sz w:val="20"/>
              </w:rPr>
              <w:t>Demonstrates cure-state mismatch through thickness</w:t>
            </w:r>
          </w:p>
        </w:tc>
      </w:tr>
    </w:tbl>
    <w:p>
      <w:pPr>
        <w:spacing w:after="0"/>
      </w:pPr>
    </w:p>
    <w:p>
      <w:pPr/>
      <w:hyperlink r:id="rId35">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Create the thick-panel baseline</w:t>
      </w:r>
    </w:p>
    <w:p>
      <w:pPr/>
      <w:r>
        <w:rPr>
          <w:b w:val="0"/>
          <w:i w:val="0"/>
        </w:rPr>
        <w:t>Create a 40-ply T700S/TC380 laminate representing the 1 inch panel reported in the NASA thermal-gradient data.</w:t>
      </w:r>
    </w:p>
    <w:p>
      <w:pPr>
        <w:pStyle w:val="ListBullet"/>
      </w:pPr>
      <w:r>
        <w:rPr>
          <w:b w:val="0"/>
          <w:i w:val="0"/>
        </w:rPr>
        <w:t>Use the linked TC380 cure-kinetics, reaction-heat and cure-dependent-modulus records when qualified inputs are available.</w:t>
      </w:r>
    </w:p>
    <w:p>
      <w:pPr>
        <w:pStyle w:val="ListBullet"/>
      </w:pPr>
      <w:r>
        <w:rPr>
          <w:b w:val="0"/>
          <w:i w:val="0"/>
        </w:rPr>
        <w:t>Set total laminate thickness to 25.4 mm and assign through-thickness conductivity, density and specific heat from traceable records.</w:t>
      </w:r>
    </w:p>
    <w:p>
      <w:pPr>
        <w:pStyle w:val="ListBullet"/>
      </w:pPr>
      <w:r>
        <w:rPr>
          <w:b w:val="0"/>
          <w:i w:val="0"/>
        </w:rPr>
        <w:t>Use enough through-thickness nodes to resolve the core and the two surfaces.</w:t>
      </w:r>
    </w:p>
    <w:p>
      <w:pPr>
        <w:keepNext/>
      </w:pPr>
      <w:r>
        <w:t>Good practice</w:t>
      </w:r>
    </w:p>
    <w:p>
      <w:pPr/>
      <w:r>
        <w:rPr>
          <w:b w:val="0"/>
          <w:i w:val="0"/>
        </w:rPr>
        <w:t>The NASA cycle and measured temperatures do not provide every constitutive input required by the CDS cure model. Missing kinetics and transport values must remain visible and sourced separately.</w:t>
      </w:r>
    </w:p>
    <w:p>
      <w:pPr>
        <w:pStyle w:val="Heading2"/>
      </w:pPr>
      <w:r>
        <w:t>Enter the two-stage oven cycle</w:t>
      </w:r>
    </w:p>
    <w:p>
      <w:pPr/>
      <w:r>
        <w:rPr>
          <w:b w:val="0"/>
          <w:i w:val="0"/>
        </w:rPr>
        <w:t>Build the published vacuum-bag-only schedule as a transient upper and lower boundary history.</w:t>
      </w:r>
    </w:p>
    <w:p>
      <w:pPr>
        <w:pStyle w:val="ListBullet"/>
      </w:pPr>
      <w:r>
        <w:rPr>
          <w:b w:val="0"/>
          <w:i w:val="0"/>
        </w:rPr>
        <w:t>Start at the selected room reference temperature and ramp to 107°C at 1.1°C/min.</w:t>
      </w:r>
    </w:p>
    <w:p>
      <w:pPr>
        <w:pStyle w:val="ListBullet"/>
      </w:pPr>
      <w:r>
        <w:rPr>
          <w:b w:val="0"/>
          <w:i w:val="0"/>
        </w:rPr>
        <w:t>Hold at 107°C for 60 minutes.</w:t>
      </w:r>
    </w:p>
    <w:p>
      <w:pPr>
        <w:pStyle w:val="ListBullet"/>
      </w:pPr>
      <w:r>
        <w:rPr>
          <w:b w:val="0"/>
          <w:i w:val="0"/>
        </w:rPr>
        <w:t>Ramp to 180°C at 1.1°C/min and hold for 120 minutes.</w:t>
      </w:r>
    </w:p>
    <w:p>
      <w:pPr>
        <w:pStyle w:val="ListBullet"/>
      </w:pPr>
      <w:r>
        <w:rPr>
          <w:b w:val="0"/>
          <w:i w:val="0"/>
        </w:rPr>
        <w:t>Cool at no more than 3°C/min until the part is below 49°C.</w:t>
      </w:r>
    </w:p>
    <w:p>
      <w:pPr>
        <w:pStyle w:val="ListBullet"/>
      </w:pPr>
      <w:r>
        <w:rPr>
          <w:b w:val="0"/>
          <w:i w:val="0"/>
        </w:rPr>
        <w:t>Model the separate two-hour 180°C post-cure as a second cycle when it is included in the study.</w:t>
      </w:r>
    </w:p>
    <w:p>
      <w:pPr>
        <w:pStyle w:val="Heading2"/>
      </w:pPr>
      <w:r>
        <w:t>Resolve thermal lag before adding reaction heat</w:t>
      </w:r>
    </w:p>
    <w:p>
      <w:pPr/>
      <w:r>
        <w:rPr>
          <w:b w:val="0"/>
          <w:i w:val="0"/>
        </w:rPr>
        <w:t>Run the transient conduction model with cure exotherm disabled to establish the boundary-to-core lag.</w:t>
      </w:r>
    </w:p>
    <w:p>
      <w:pPr>
        <w:pStyle w:val="ListBullet"/>
      </w:pPr>
      <w:r>
        <w:rPr>
          <w:b w:val="0"/>
          <w:i w:val="0"/>
        </w:rPr>
        <w:t>Plot oven or surface temperature with the core and tool-side node histories.</w:t>
      </w:r>
    </w:p>
    <w:p>
      <w:pPr>
        <w:pStyle w:val="ListBullet"/>
      </w:pPr>
      <w:r>
        <w:rPr>
          <w:b w:val="0"/>
          <w:i w:val="0"/>
        </w:rPr>
        <w:t>Check the 107°C and 180°C transitions for adequate time resolution.</w:t>
      </w:r>
    </w:p>
    <w:p>
      <w:pPr>
        <w:pStyle w:val="ListBullet"/>
      </w:pPr>
      <w:r>
        <w:rPr>
          <w:b w:val="0"/>
          <w:i w:val="0"/>
        </w:rPr>
        <w:t>Save the no-exotherm result as the conduction baseline.</w:t>
      </w:r>
    </w:p>
    <w:p>
      <w:pPr>
        <w:pStyle w:val="Heading2"/>
      </w:pPr>
      <w:r>
        <w:t>Enable cure exotherm and evolving modulus</w:t>
      </w:r>
    </w:p>
    <w:p>
      <w:pPr/>
      <w:r>
        <w:rPr>
          <w:b w:val="0"/>
          <w:i w:val="0"/>
        </w:rPr>
        <w:t>Turn on reaction heat and the cure-dependent modulus model, then rerun the same cycle.</w:t>
      </w:r>
    </w:p>
    <w:p>
      <w:pPr>
        <w:pStyle w:val="ListBullet"/>
      </w:pPr>
      <w:r>
        <w:rPr>
          <w:b w:val="0"/>
          <w:i w:val="0"/>
        </w:rPr>
        <w:t>Compare peak core temperature, core-to-tool gradient and degree of cure with the baseline.</w:t>
      </w:r>
    </w:p>
    <w:p>
      <w:pPr>
        <w:pStyle w:val="ListBullet"/>
      </w:pPr>
      <w:r>
        <w:rPr>
          <w:b w:val="0"/>
          <w:i w:val="0"/>
        </w:rPr>
        <w:t>Inspect when the core crosses the cure model’s gelation or vitrification transitions.</w:t>
      </w:r>
    </w:p>
    <w:p>
      <w:pPr>
        <w:pStyle w:val="ListBullet"/>
      </w:pPr>
      <w:r>
        <w:rPr>
          <w:b w:val="0"/>
          <w:i w:val="0"/>
        </w:rPr>
        <w:t>Review the process-stress history only after the thermal and cure histories are credible.</w:t>
      </w:r>
    </w:p>
    <w:p>
      <w:pPr>
        <w:keepNext/>
      </w:pPr>
      <w:r>
        <w:t>Good practice</w:t>
      </w:r>
    </w:p>
    <w:p>
      <w:pPr/>
      <w:r>
        <w:rPr>
          <w:b w:val="0"/>
          <w:i w:val="0"/>
        </w:rPr>
        <w:t>NASA observed thicker-panel exotherm and reported less than 10°C maximum through-thickness variation in this study. Agreement requires compatible kinetics, reaction heat and transport data—not merely the same oven schedule.</w:t>
      </w:r>
    </w:p>
    <w:p>
      <w:pPr>
        <w:pStyle w:val="Heading2"/>
      </w:pPr>
      <w:r>
        <w:t>Frame a process optimization</w:t>
      </w:r>
    </w:p>
    <w:p>
      <w:pPr/>
      <w:r>
        <w:rPr>
          <w:b w:val="0"/>
          <w:i w:val="0"/>
        </w:rPr>
        <w:t>Duplicate the thermal case, including its own cycle, and optimize ramp or dwell variables against core-temperature and cure constraints.</w:t>
      </w:r>
    </w:p>
    <w:p>
      <w:pPr>
        <w:pStyle w:val="ListBullet"/>
      </w:pPr>
      <w:r>
        <w:rPr>
          <w:b w:val="0"/>
          <w:i w:val="0"/>
        </w:rPr>
        <w:t>Choose a target core degree of cure and a maximum permitted core temperature or surface-to-core gradient.</w:t>
      </w:r>
    </w:p>
    <w:p>
      <w:pPr>
        <w:pStyle w:val="ListBullet"/>
      </w:pPr>
      <w:r>
        <w:rPr>
          <w:b w:val="0"/>
          <w:i w:val="0"/>
        </w:rPr>
        <w:t>Allow the first ramp rate, intermediate dwell and second ramp rate to vary within manufacturing limits.</w:t>
      </w:r>
    </w:p>
    <w:p>
      <w:pPr>
        <w:pStyle w:val="ListBullet"/>
      </w:pPr>
      <w:r>
        <w:rPr>
          <w:b w:val="0"/>
          <w:i w:val="0"/>
        </w:rPr>
        <w:t>Minimize cycle time subject to the thermal and cure constraints.</w:t>
      </w:r>
    </w:p>
    <w:p>
      <w:pPr>
        <w:pStyle w:val="ListBullet"/>
      </w:pPr>
      <w:r>
        <w:rPr>
          <w:b w:val="0"/>
          <w:i w:val="0"/>
        </w:rPr>
        <w:t>Save the candidate snapshot, apply its cycle to the copied thermal case, and rerun the fully coupled case before comparing residual stress.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5" w:name="chapter_5"/>
      <w:pPr>
        <w:pStyle w:val="Heading1"/>
        <w:pageBreakBefore/>
      </w:pPr>
      <w:r>
        <w:t>5 Screen a pressurized AS4/3501-6 cylinder</w:t>
      </w:r>
      <w:bookmarkEnd w:id="5"/>
    </w:p>
    <w:p>
      <w:pPr>
        <w:pStyle w:val="Caption"/>
      </w:pPr>
      <w:hyperlink r:id="rId48">
        <w:r>
          <w:rPr>
            <w:color w:val="176EA4"/>
          </w:rPr>
          <w:t>Online chapter</w:t>
        </w:r>
      </w:hyperlink>
      <w:r>
        <w:t xml:space="preserve"> </w:t>
      </w:r>
    </w:p>
    <w:p>
      <w:pPr/>
      <w:r>
        <w:rPr>
          <w:b w:val="0"/>
          <w:i w:val="0"/>
        </w:rPr>
        <w:t>Recreate the global biaxial load state of a NASA pressure-cylinder program, compare stacking sequences, and define the boundary between laminate screening and detailed fracture analysis.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pStyle w:val="Caption"/>
      </w:pPr>
      <w:r>
        <w:rPr>
          <w:b w:val="0"/>
          <w:i w:val="0"/>
        </w:rPr>
        <w:t xml:space="preserve">Two-row simulation workflow · </w:t>
      </w:r>
      <w:hyperlink r:id="rId49">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5" name="Picture 5" descr="Screen a pressurized AS4/3501-6 cylinder. two-row simulation workflow with connected input blocks, fatigue and optimization"/>
            <wp:cNvGraphicFramePr>
              <a:graphicFrameLocks noChangeAspect="1"/>
            </wp:cNvGraphicFramePr>
            <a:graphic>
              <a:graphicData uri="http://schemas.openxmlformats.org/drawingml/2006/picture">
                <pic:pic>
                  <pic:nvPicPr>
                    <pic:cNvPr id="0" name="rsvg-56eb91a00c5accc4519677e3ce9a74fd0fdd9a0032acc8bab41b81cc7d926b3b.png"/>
                    <pic:cNvPicPr/>
                  </pic:nvPicPr>
                  <pic:blipFill>
                    <a:blip r:embed="rId50"/>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IM7 / 8552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CLT · Linear thin-wall membrane</w:t>
      </w:r>
      <w:r>
        <w:rPr>
          <w:b/>
          <w:i w:val="0"/>
        </w:rPr>
        <w:t xml:space="preserve"> </w:t>
      </w:r>
      <w:r>
        <w:rPr>
          <w:b/>
          <w:i w:val="0"/>
        </w:rPr>
        <w:t xml:space="preserve"> · </w:t>
      </w:r>
      <w:r>
        <w:rPr>
          <w:b/>
          <w:i w:val="0"/>
        </w:rPr>
        <w:t xml:space="preserve"> </w:t>
      </w:r>
      <w:r>
        <w:rPr>
          <w:b/>
          <w:i w:val="0"/>
        </w:rPr>
        <w:t>Cylinder — Internal Pressure · Pressure vessel</w:t>
      </w:r>
    </w:p>
    <w:p>
      <w:pPr/>
      <w:r>
        <w:rPr>
          <w:b w:val="0"/>
          <w:i w:val="0"/>
        </w:rPr>
        <w:t>Shared laminate stiffness drives this membrane/CLT path. Failure criteria are independent comparisons, not blended models. Fatigue is a separate assessment.</w:t>
      </w:r>
    </w:p>
    <w:p>
      <w:hyperlink r:id="rId39">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Geometry</w:t>
      </w:r>
      <w:r>
        <w:rPr>
          <w:b/>
          <w:i w:val="0"/>
        </w:rPr>
        <w:t xml:space="preserve"> </w:t>
      </w:r>
      <w:r>
        <w:rPr>
          <w:b/>
          <w:i w:val="0"/>
        </w:rPr>
        <w:t xml:space="preserve"> → </w:t>
      </w:r>
      <w:r>
        <w:rPr>
          <w:b/>
          <w:i w:val="0"/>
        </w:rPr>
        <w:t xml:space="preserve"> </w:t>
      </w:r>
      <w:r>
        <w:rPr>
          <w:b/>
          <w:i w:val="0"/>
        </w:rPr>
        <w:t>Mechanical</w:t>
      </w:r>
      <w:r>
        <w:br/>
      </w:r>
      <w:r>
        <w:rPr>
          <w:b w:val="0"/>
          <w:i w:val="0"/>
        </w:rPr>
        <w:t>Shape and dimensions for the selected structural analysis.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starter uses IM7/8552, not AS4/3501-6. Supply traceable AS4/3501-6 ply properties, thickness and the source diameter convention before comparison. Slits are intentionally outside this pristine-cylinder model.</w:t>
      </w:r>
    </w:p>
    <w:p>
      <w:pPr>
        <w:pStyle w:val="ListBullet"/>
      </w:pPr>
      <w:hyperlink r:id="rId51">
        <w:r>
          <w:rPr>
            <w:color w:val="176EA4"/>
          </w:rPr>
          <w:t>NASA-CR-195101 — Damage Tolerance of Pressurized Graphite/Epoxy Tape Cylinders Under Uniaxial and Biaxial Loading </w:t>
        </w:r>
      </w:hyperlink>
      <w:r>
        <w:t xml:space="preserve"> </w:t>
      </w:r>
      <w:r>
        <w:rPr>
          <w:b w:val="0"/>
          <w:i w:val="0"/>
        </w:rPr>
        <w:t>Source study identified; matched slit-cylinder dataset not reproduced</w:t>
      </w:r>
      <w:r>
        <w:rPr>
          <w:b w:val="0"/>
          <w:i w:val="0"/>
        </w:rPr>
        <w:t xml:space="preserve"> </w:t>
      </w:r>
      <w:r>
        <w:rPr>
          <w:b w:val="0"/>
          <w:i w:val="0"/>
        </w:rPr>
        <w:t xml:space="preserve">. </w:t>
      </w:r>
      <w:r>
        <w:rPr>
          <w:b w:val="0"/>
          <w:i w:val="0"/>
        </w:rPr>
        <w:t xml:space="preserve"> </w:t>
      </w:r>
      <w:r>
        <w:rPr>
          <w:b w:val="0"/>
          <w:i w:val="0"/>
        </w:rPr>
        <w:t>Slit-tip damage and failure pressure are outside pristine membrane scope.</w:t>
      </w:r>
      <w:r>
        <w:t xml:space="preserve"> </w:t>
      </w:r>
    </w:p>
    <w:p>
      <w:pPr>
        <w:pStyle w:val="Heading3"/>
      </w:pPr>
      <w:r>
        <w:t>Tested inputs</w:t>
      </w:r>
    </w:p>
    <w:p>
      <w:pPr/>
      <w:r>
        <w:rPr>
          <w:b w:val="0"/>
          <w:i w:val="0"/>
        </w:rPr>
        <w:t xml:space="preserve">Input SHA-256: </w:t>
      </w:r>
      <w:r>
        <w:rPr>
          <w:b w:val="0"/>
          <w:i w:val="0"/>
        </w:rPr>
        <w:t xml:space="preserve"> </w:t>
      </w:r>
      <w:r>
        <w:rPr>
          <w:b w:val="0"/>
          <w:i w:val="0"/>
        </w:rPr>
        <w:t>f25f2006b61b91faeeba0759fa4d7a801d98047fe892d401285db11b9d1b9741</w:t>
      </w:r>
      <w:r>
        <w:br/>
      </w:r>
      <w:r>
        <w:rPr>
          <w:b w:val="0"/>
          <w:i w:val="0"/>
        </w:rPr>
        <w:t xml:space="preserve">Solver source SHA-256: </w:t>
      </w:r>
      <w:r>
        <w:rPr>
          <w:b w:val="0"/>
          <w:i w:val="0"/>
        </w:rPr>
        <w:t xml:space="preserve"> </w:t>
      </w:r>
      <w:r>
        <w:rPr>
          <w:b w:val="0"/>
          <w:i w:val="0"/>
        </w:rPr>
        <w:t>30c8a614b6cb004a26da8adaf8ab7c534c37c4d534836921939f35a549e1bcc5</w:t>
      </w:r>
    </w:p>
    <w:p>
      <w:pPr>
        <w:pStyle w:val="ListBullet"/>
      </w:pPr>
      <w:r>
        <w:rPr>
          <w:b w:val="0"/>
          <w:i w:val="0"/>
        </w:rPr>
        <w:t>Pristine-cylinder screening only. Slit-tip fracture, splitting, delamination, nonlinear local response and the source’s subcritical damage are not solved here.</w:t>
      </w:r>
    </w:p>
    <w:p>
      <w:pPr/>
      <w:hyperlink r:id="rId52">
        <w:r>
          <w:rPr>
            <w:color w:val="176EA4"/>
          </w:rPr>
          <w:t>Download source-validation evidence (JSON)</w:t>
        </w:r>
      </w:hyperlink>
      <w:r>
        <w:t xml:space="preserve"> </w:t>
      </w:r>
      <w:r>
        <w:rPr>
          <w:b w:val="0"/>
          <w:i w:val="0"/>
        </w:rPr>
        <w:t xml:space="preserve"> · </w:t>
      </w:r>
      <w:hyperlink r:id="rId25">
        <w:r>
          <w:rPr>
            <w:color w:val="176EA4"/>
          </w:rPr>
          <w:t>Full 104 -exercise study</w:t>
        </w:r>
      </w:hyperlink>
      <w:r>
        <w:t xml:space="preserve"> </w:t>
      </w:r>
    </w:p>
    <w:p>
      <w:pPr>
        <w:keepNext/>
      </w:pPr>
      <w:r>
        <w:rPr>
          <w:b w:val="0"/>
          <w:i w:val="0"/>
        </w:rPr>
        <w:t>Objective</w:t>
      </w:r>
    </w:p>
    <w:p>
      <w:pPr/>
      <w:r>
        <w:rPr>
          <w:b w:val="0"/>
          <w:i w:val="0"/>
        </w:rPr>
        <w:t>Compare global membrane and first-ply response for two quasi-isotropic AS4/3501-6 stacking sequences under the two-to-one hoop-to-axial loading created by internal pressure.</w:t>
      </w:r>
    </w:p>
    <w:p>
      <w:pPr/>
      <w:r>
        <w:rPr>
          <w:b w:val="0"/>
          <w:i w:val="0"/>
        </w:rPr>
        <w:t>CDS scope</w:t>
      </w:r>
    </w:p>
    <w:p>
      <w:pPr/>
      <w:r>
        <w:rPr>
          <w:b w:val="0"/>
          <w:i w:val="0"/>
        </w:rPr>
        <w:t>CDS provides the pristine thin-wall cylinder and laminate-failure screen. The published slit-tip fracture, delamination, subcritical damage and nonlinear local response require a higher-fidelity model.</w:t>
      </w:r>
    </w:p>
    <w:p>
      <w:pPr/>
      <w:r>
        <w:rPr>
          <w:b w:val="0"/>
          <w:i w:val="0"/>
        </w:rPr>
        <w:t>Published basis</w:t>
      </w:r>
    </w:p>
    <w:p>
      <w:pPr/>
      <w:r>
        <w:rPr>
          <w:b w:val="0"/>
          <w:i w:val="0"/>
        </w:rPr>
        <w:t>2</w:t>
      </w:r>
      <w:r>
        <w:rPr>
          <w:b w:val="0"/>
          <w:i w:val="0"/>
        </w:rPr>
        <w:t xml:space="preserve"> </w:t>
      </w:r>
      <w:r>
        <w:rPr>
          <w:b w:val="0"/>
          <w:i w:val="0"/>
        </w:rPr>
        <w:t xml:space="preserve"> primary </w:t>
      </w:r>
      <w:r>
        <w:rPr>
          <w:b w:val="0"/>
          <w:i w:val="0"/>
        </w:rPr>
        <w:t xml:space="preserve"> </w:t>
      </w:r>
      <w:r>
        <w:rPr>
          <w:b w:val="0"/>
          <w:i w:val="0"/>
        </w:rPr>
        <w:t>sources</w:t>
      </w:r>
    </w:p>
    <w:p>
      <w:pPr/>
      <w:r>
        <w:rPr>
          <w:b w:val="0"/>
          <w:i w:val="0"/>
        </w:rPr>
        <w:t>NASA-CR-195101</w:t>
      </w:r>
    </w:p>
    <w:p>
      <w:r>
        <w:t>Damage Tolerance of Pressurized Graphite/Epoxy Tape Cylinders Under Uniaxial and Biaxial Loading</w:t>
      </w:r>
    </w:p>
    <w:p>
      <w:pPr/>
      <w:r>
        <w:rPr>
          <w:b w:val="0"/>
          <w:i w:val="0"/>
        </w:rPr>
        <w:t>Reports 305 mm AS4/3501-6 cylinders, 12.7–50.8 mm axial slits, several symmetric stacking sequences, and sensitivity to subcritical damage.</w:t>
      </w:r>
    </w:p>
    <w:p>
      <w:pPr/>
      <w:r>
        <w:rPr>
          <w:b w:val="0"/>
          <w:i w:val="0"/>
        </w:rPr>
        <w:t>NASA-CR-192618</w:t>
      </w:r>
    </w:p>
    <w:p>
      <w:r>
        <w:t>Damage Tolerance and Arrest Characteristics of Pressurized Graphite/Epoxy Tape Cylinders</w:t>
      </w:r>
    </w:p>
    <w:p>
      <w:pPr/>
      <w:r>
        <w:rPr>
          <w:b w:val="0"/>
          <w:i w:val="0"/>
        </w:rPr>
        <w:t>Documents quasi-isotropic and anisotropic AS4/3501-6 cylinders pressurized to a two-to-one biaxial far-field stress state.</w:t>
      </w:r>
    </w:p>
    <w:p>
      <w:pPr/>
      <w:r>
        <w:rPr>
          <w:b w:val="0"/>
          <w:i w:val="0"/>
        </w:rPr>
        <w:t>Starting data</w:t>
      </w:r>
    </w:p>
    <w:p>
      <w:pPr/>
      <w:r>
        <w:rPr>
          <w:b w:val="0"/>
          <w:i w:val="0"/>
        </w:rPr>
        <w:t>Enter in the displayed units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Variable</w:t>
            </w:r>
          </w:p>
        </w:tc>
        <w:tc>
          <w:tcPr>
            <w:tcW w:type="dxa" w:w="3264"/>
            <w:vAlign w:val="center"/>
            <w:shd w:fill="E7EDF3"/>
          </w:tcPr>
          <w:p>
            <w:pPr>
              <w:keepNext/>
              <w:spacing w:after="100" w:before="100"/>
            </w:pPr>
            <w:r>
              <w:rPr>
                <w:b/>
                <w:i w:val="0"/>
                <w:sz w:val="20"/>
              </w:rPr>
              <w:t>Value</w:t>
            </w:r>
          </w:p>
        </w:tc>
        <w:tc>
          <w:tcPr>
            <w:tcW w:type="dxa" w:w="3264"/>
            <w:vAlign w:val="center"/>
            <w:shd w:fill="E7EDF3"/>
          </w:tcPr>
          <w:p>
            <w:pPr>
              <w:keepNext/>
              <w:spacing w:after="100" w:before="100"/>
            </w:pPr>
            <w:r>
              <w:rPr>
                <w:b/>
                <w:i w:val="0"/>
                <w:sz w:val="20"/>
              </w:rPr>
              <w:t>How it is used</w:t>
            </w:r>
          </w:p>
        </w:tc>
      </w:tr>
      <w:tr>
        <w:trPr>
          <w:cantSplit/>
        </w:trPr>
        <w:tc>
          <w:tcPr>
            <w:tcW w:type="dxa" w:w="3264"/>
            <w:vAlign w:val="center"/>
            <w:shd w:fill="FFFFFF"/>
          </w:tcPr>
          <w:p>
            <w:pPr>
              <w:spacing w:after="100" w:before="100"/>
            </w:pPr>
            <w:r>
              <w:rPr>
                <w:b w:val="0"/>
                <w:i w:val="0"/>
                <w:sz w:val="20"/>
              </w:rPr>
              <w:t>Material</w:t>
            </w:r>
          </w:p>
        </w:tc>
        <w:tc>
          <w:tcPr>
            <w:tcW w:type="dxa" w:w="3264"/>
            <w:vAlign w:val="center"/>
            <w:shd w:fill="FFFFFF"/>
          </w:tcPr>
          <w:p>
            <w:pPr>
              <w:spacing w:after="100" w:before="100"/>
            </w:pPr>
            <w:r>
              <w:rPr>
                <w:b w:val="0"/>
                <w:i w:val="0"/>
                <w:sz w:val="20"/>
              </w:rPr>
              <w:t>AS4/3501-6 graphite/epoxy tape</w:t>
            </w:r>
          </w:p>
        </w:tc>
        <w:tc>
          <w:tcPr>
            <w:tcW w:type="dxa" w:w="3264"/>
            <w:vAlign w:val="center"/>
            <w:shd w:fill="FFFFFF"/>
          </w:tcPr>
          <w:p>
            <w:pPr>
              <w:spacing w:after="100" w:before="100"/>
            </w:pPr>
            <w:r>
              <w:rPr>
                <w:b w:val="0"/>
                <w:i w:val="0"/>
                <w:sz w:val="20"/>
              </w:rPr>
              <w:t>Published cylinder material system</w:t>
            </w:r>
          </w:p>
        </w:tc>
      </w:tr>
      <w:tr>
        <w:trPr>
          <w:cantSplit/>
        </w:trPr>
        <w:tc>
          <w:tcPr>
            <w:tcW w:type="dxa" w:w="3264"/>
            <w:vAlign w:val="center"/>
            <w:shd w:fill="FFFFFF"/>
          </w:tcPr>
          <w:p>
            <w:pPr>
              <w:spacing w:after="100" w:before="100"/>
            </w:pPr>
            <w:r>
              <w:rPr>
                <w:b w:val="0"/>
                <w:i w:val="0"/>
                <w:sz w:val="20"/>
              </w:rPr>
              <w:t>Cylinder diameter</w:t>
            </w:r>
          </w:p>
        </w:tc>
        <w:tc>
          <w:tcPr>
            <w:tcW w:type="dxa" w:w="3264"/>
            <w:vAlign w:val="center"/>
            <w:shd w:fill="FFFFFF"/>
          </w:tcPr>
          <w:p>
            <w:pPr>
              <w:spacing w:after="100" w:before="100"/>
            </w:pPr>
            <w:r>
              <w:rPr>
                <w:b w:val="0"/>
                <w:i w:val="0"/>
                <w:sz w:val="20"/>
              </w:rPr>
              <w:t>305 mm</w:t>
            </w:r>
          </w:p>
        </w:tc>
        <w:tc>
          <w:tcPr>
            <w:tcW w:type="dxa" w:w="3264"/>
            <w:vAlign w:val="center"/>
            <w:shd w:fill="FFFFFF"/>
          </w:tcPr>
          <w:p>
            <w:pPr>
              <w:spacing w:after="100" w:before="100"/>
            </w:pPr>
            <w:r>
              <w:rPr>
                <w:b w:val="0"/>
                <w:i w:val="0"/>
                <w:sz w:val="20"/>
              </w:rPr>
              <w:t>Global tube geometry</w:t>
            </w:r>
          </w:p>
        </w:tc>
      </w:tr>
      <w:tr>
        <w:trPr>
          <w:cantSplit/>
        </w:trPr>
        <w:tc>
          <w:tcPr>
            <w:tcW w:type="dxa" w:w="3264"/>
            <w:vAlign w:val="center"/>
            <w:shd w:fill="FFFFFF"/>
          </w:tcPr>
          <w:p>
            <w:pPr>
              <w:spacing w:after="100" w:before="100"/>
            </w:pPr>
            <w:r>
              <w:rPr>
                <w:b w:val="0"/>
                <w:i w:val="0"/>
                <w:sz w:val="20"/>
              </w:rPr>
              <w:t>Baseline layup</w:t>
            </w:r>
          </w:p>
        </w:tc>
        <w:tc>
          <w:tcPr>
            <w:tcW w:type="dxa" w:w="3264"/>
            <w:vAlign w:val="center"/>
            <w:shd w:fill="FFFFFF"/>
          </w:tcPr>
          <w:p>
            <w:pPr>
              <w:spacing w:after="100" w:before="100"/>
            </w:pPr>
            <w:r>
              <w:rPr>
                <w:b w:val="0"/>
                <w:i w:val="0"/>
                <w:sz w:val="20"/>
              </w:rPr>
              <w:t>[90/0/+45/−45]s</w:t>
            </w:r>
          </w:p>
        </w:tc>
        <w:tc>
          <w:tcPr>
            <w:tcW w:type="dxa" w:w="3264"/>
            <w:vAlign w:val="center"/>
            <w:shd w:fill="FFFFFF"/>
          </w:tcPr>
          <w:p>
            <w:pPr>
              <w:spacing w:after="100" w:before="100"/>
            </w:pPr>
            <w:r>
              <w:rPr>
                <w:b w:val="0"/>
                <w:i w:val="0"/>
                <w:sz w:val="20"/>
              </w:rPr>
              <w:t>Symmetric quasi-isotropic comparison</w:t>
            </w:r>
          </w:p>
        </w:tc>
      </w:tr>
      <w:tr>
        <w:trPr>
          <w:cantSplit/>
        </w:trPr>
        <w:tc>
          <w:tcPr>
            <w:tcW w:type="dxa" w:w="3264"/>
            <w:vAlign w:val="center"/>
            <w:shd w:fill="FFFFFF"/>
          </w:tcPr>
          <w:p>
            <w:pPr>
              <w:spacing w:after="100" w:before="100"/>
            </w:pPr>
            <w:r>
              <w:rPr>
                <w:b w:val="0"/>
                <w:i w:val="0"/>
                <w:sz w:val="20"/>
              </w:rPr>
              <w:t>Stacking variant</w:t>
            </w:r>
          </w:p>
        </w:tc>
        <w:tc>
          <w:tcPr>
            <w:tcW w:type="dxa" w:w="3264"/>
            <w:vAlign w:val="center"/>
            <w:shd w:fill="FFFFFF"/>
          </w:tcPr>
          <w:p>
            <w:pPr>
              <w:spacing w:after="100" w:before="100"/>
            </w:pPr>
            <w:r>
              <w:rPr>
                <w:b w:val="0"/>
                <w:i w:val="0"/>
                <w:sz w:val="20"/>
              </w:rPr>
              <w:t>[0/+45/−45/90]s</w:t>
            </w:r>
          </w:p>
        </w:tc>
        <w:tc>
          <w:tcPr>
            <w:tcW w:type="dxa" w:w="3264"/>
            <w:vAlign w:val="center"/>
            <w:shd w:fill="FFFFFF"/>
          </w:tcPr>
          <w:p>
            <w:pPr>
              <w:spacing w:after="100" w:before="100"/>
            </w:pPr>
            <w:r>
              <w:rPr>
                <w:b w:val="0"/>
                <w:i w:val="0"/>
                <w:sz w:val="20"/>
              </w:rPr>
              <w:t>Similar in-plane response with different bending coupling</w:t>
            </w:r>
          </w:p>
        </w:tc>
      </w:tr>
      <w:tr>
        <w:trPr>
          <w:cantSplit/>
        </w:trPr>
        <w:tc>
          <w:tcPr>
            <w:tcW w:type="dxa" w:w="3264"/>
            <w:vAlign w:val="center"/>
            <w:shd w:fill="FFFFFF"/>
          </w:tcPr>
          <w:p>
            <w:pPr>
              <w:spacing w:after="100" w:before="100"/>
            </w:pPr>
            <w:r>
              <w:rPr>
                <w:b w:val="0"/>
                <w:i w:val="0"/>
                <w:sz w:val="20"/>
              </w:rPr>
              <w:t>Slit lengths in source</w:t>
            </w:r>
          </w:p>
        </w:tc>
        <w:tc>
          <w:tcPr>
            <w:tcW w:type="dxa" w:w="3264"/>
            <w:vAlign w:val="center"/>
            <w:shd w:fill="FFFFFF"/>
          </w:tcPr>
          <w:p>
            <w:pPr>
              <w:spacing w:after="100" w:before="100"/>
            </w:pPr>
            <w:r>
              <w:rPr>
                <w:b w:val="0"/>
                <w:i w:val="0"/>
                <w:sz w:val="20"/>
              </w:rPr>
              <w:t>12.7–50.8 mm</w:t>
            </w:r>
          </w:p>
        </w:tc>
        <w:tc>
          <w:tcPr>
            <w:tcW w:type="dxa" w:w="3264"/>
            <w:vAlign w:val="center"/>
            <w:shd w:fill="FFFFFF"/>
          </w:tcPr>
          <w:p>
            <w:pPr>
              <w:spacing w:after="100" w:before="100"/>
            </w:pPr>
            <w:r>
              <w:rPr>
                <w:b w:val="0"/>
                <w:i w:val="0"/>
                <w:sz w:val="20"/>
              </w:rPr>
              <w:t>Excluded local-damage feature to document</w:t>
            </w:r>
          </w:p>
        </w:tc>
      </w:tr>
      <w:tr>
        <w:trPr>
          <w:cantSplit/>
        </w:trPr>
        <w:tc>
          <w:tcPr>
            <w:tcW w:type="dxa" w:w="3264"/>
            <w:vAlign w:val="center"/>
            <w:shd w:fill="FFFFFF"/>
          </w:tcPr>
          <w:p>
            <w:pPr>
              <w:spacing w:after="100" w:before="100"/>
            </w:pPr>
            <w:r>
              <w:rPr>
                <w:b w:val="0"/>
                <w:i w:val="0"/>
                <w:sz w:val="20"/>
              </w:rPr>
              <w:t>Pressure load ratio</w:t>
            </w:r>
          </w:p>
        </w:tc>
        <w:tc>
          <w:tcPr>
            <w:tcW w:type="dxa" w:w="3264"/>
            <w:vAlign w:val="center"/>
            <w:shd w:fill="FFFFFF"/>
          </w:tcPr>
          <w:p>
            <w:pPr>
              <w:spacing w:after="100" w:before="100"/>
            </w:pPr>
            <w:r>
              <w:rPr>
                <w:b w:val="0"/>
                <w:i w:val="0"/>
                <w:sz w:val="20"/>
              </w:rPr>
              <w:t>Hoop : axial = 2 : 1</w:t>
            </w:r>
          </w:p>
        </w:tc>
        <w:tc>
          <w:tcPr>
            <w:tcW w:type="dxa" w:w="3264"/>
            <w:vAlign w:val="center"/>
            <w:shd w:fill="FFFFFF"/>
          </w:tcPr>
          <w:p>
            <w:pPr>
              <w:spacing w:after="100" w:before="100"/>
            </w:pPr>
            <w:r>
              <w:rPr>
                <w:b w:val="0"/>
                <w:i w:val="0"/>
                <w:sz w:val="20"/>
              </w:rPr>
              <w:t>Closed-cylinder far-field membrane loading</w:t>
            </w:r>
          </w:p>
        </w:tc>
      </w:tr>
    </w:tbl>
    <w:p>
      <w:pPr>
        <w:spacing w:after="0"/>
      </w:pPr>
    </w:p>
    <w:p>
      <w:pPr>
        <w:keepNext/>
      </w:pPr>
      <w:r>
        <w:rPr>
          <w:b w:val="0"/>
          <w:i w:val="0"/>
        </w:rPr>
        <w:t>Review checkpoints</w:t>
      </w:r>
    </w:p>
    <w:p>
      <w:pPr/>
      <w:r>
        <w:rPr>
          <w:b w:val="0"/>
          <w:i w:val="0"/>
        </w:rPr>
        <w:t>Comparison, not certification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Result</w:t>
            </w:r>
          </w:p>
        </w:tc>
        <w:tc>
          <w:tcPr>
            <w:tcW w:type="dxa" w:w="3264"/>
            <w:vAlign w:val="center"/>
            <w:shd w:fill="E7EDF3"/>
          </w:tcPr>
          <w:p>
            <w:pPr>
              <w:keepNext/>
              <w:spacing w:after="100" w:before="100"/>
            </w:pPr>
            <w:r>
              <w:rPr>
                <w:b/>
                <w:i w:val="0"/>
                <w:sz w:val="20"/>
              </w:rPr>
              <w:t>Published reference</w:t>
            </w:r>
          </w:p>
        </w:tc>
        <w:tc>
          <w:tcPr>
            <w:tcW w:type="dxa" w:w="3264"/>
            <w:vAlign w:val="center"/>
            <w:shd w:fill="E7EDF3"/>
          </w:tcPr>
          <w:p>
            <w:pPr>
              <w:keepNext/>
              <w:spacing w:after="100" w:before="100"/>
            </w:pPr>
            <w:r>
              <w:rPr>
                <w:b/>
                <w:i w:val="0"/>
                <w:sz w:val="20"/>
              </w:rPr>
              <w:t>Interpretation</w:t>
            </w:r>
          </w:p>
        </w:tc>
      </w:tr>
      <w:tr>
        <w:trPr>
          <w:cantSplit/>
        </w:trPr>
        <w:tc>
          <w:tcPr>
            <w:tcW w:type="dxa" w:w="3264"/>
            <w:vAlign w:val="center"/>
            <w:shd w:fill="FFFFFF"/>
          </w:tcPr>
          <w:p>
            <w:pPr>
              <w:spacing w:after="100" w:before="100"/>
            </w:pPr>
            <w:r>
              <w:rPr>
                <w:b w:val="0"/>
                <w:i w:val="0"/>
                <w:sz w:val="20"/>
              </w:rPr>
              <w:t>Membrane load ratio</w:t>
            </w:r>
          </w:p>
        </w:tc>
        <w:tc>
          <w:tcPr>
            <w:tcW w:type="dxa" w:w="3264"/>
            <w:vAlign w:val="center"/>
            <w:shd w:fill="FFFFFF"/>
          </w:tcPr>
          <w:p>
            <w:pPr>
              <w:spacing w:after="100" w:before="100"/>
            </w:pPr>
            <w:r>
              <w:rPr>
                <w:b w:val="0"/>
                <w:i w:val="0"/>
                <w:sz w:val="20"/>
              </w:rPr>
              <w:t>Nhoop / Naxial = 2</w:t>
            </w:r>
          </w:p>
        </w:tc>
        <w:tc>
          <w:tcPr>
            <w:tcW w:type="dxa" w:w="3264"/>
            <w:vAlign w:val="center"/>
            <w:shd w:fill="FFFFFF"/>
          </w:tcPr>
          <w:p>
            <w:pPr>
              <w:spacing w:after="100" w:before="100"/>
            </w:pPr>
            <w:r>
              <w:rPr>
                <w:b w:val="0"/>
                <w:i w:val="0"/>
                <w:sz w:val="20"/>
              </w:rPr>
              <w:t>Required thin-wall closed-cylinder equilibrium check</w:t>
            </w:r>
          </w:p>
        </w:tc>
      </w:tr>
      <w:tr>
        <w:trPr>
          <w:cantSplit/>
        </w:trPr>
        <w:tc>
          <w:tcPr>
            <w:tcW w:type="dxa" w:w="3264"/>
            <w:vAlign w:val="center"/>
            <w:shd w:fill="FFFFFF"/>
          </w:tcPr>
          <w:p>
            <w:pPr>
              <w:spacing w:after="100" w:before="100"/>
            </w:pPr>
            <w:r>
              <w:rPr>
                <w:b w:val="0"/>
                <w:i w:val="0"/>
                <w:sz w:val="20"/>
              </w:rPr>
              <w:t>A-matrix comparison</w:t>
            </w:r>
          </w:p>
        </w:tc>
        <w:tc>
          <w:tcPr>
            <w:tcW w:type="dxa" w:w="3264"/>
            <w:vAlign w:val="center"/>
            <w:shd w:fill="FFFFFF"/>
          </w:tcPr>
          <w:p>
            <w:pPr>
              <w:spacing w:after="100" w:before="100"/>
            </w:pPr>
            <w:r>
              <w:rPr>
                <w:b w:val="0"/>
                <w:i w:val="0"/>
                <w:sz w:val="20"/>
              </w:rPr>
              <w:t>Nearly equivalent quasi-isotropic in-plane response</w:t>
            </w:r>
          </w:p>
        </w:tc>
        <w:tc>
          <w:tcPr>
            <w:tcW w:type="dxa" w:w="3264"/>
            <w:vAlign w:val="center"/>
            <w:shd w:fill="FFFFFF"/>
          </w:tcPr>
          <w:p>
            <w:pPr>
              <w:spacing w:after="100" w:before="100"/>
            </w:pPr>
            <w:r>
              <w:rPr>
                <w:b w:val="0"/>
                <w:i w:val="0"/>
                <w:sz w:val="20"/>
              </w:rPr>
              <w:t>Confirms material, thickness and orientation convention</w:t>
            </w:r>
          </w:p>
        </w:tc>
      </w:tr>
      <w:tr>
        <w:trPr>
          <w:cantSplit/>
        </w:trPr>
        <w:tc>
          <w:tcPr>
            <w:tcW w:type="dxa" w:w="3264"/>
            <w:vAlign w:val="center"/>
            <w:shd w:fill="FFFFFF"/>
          </w:tcPr>
          <w:p>
            <w:pPr>
              <w:spacing w:after="100" w:before="100"/>
            </w:pPr>
            <w:r>
              <w:rPr>
                <w:b w:val="0"/>
                <w:i w:val="0"/>
                <w:sz w:val="20"/>
              </w:rPr>
              <w:t>D16 and D26</w:t>
            </w:r>
          </w:p>
        </w:tc>
        <w:tc>
          <w:tcPr>
            <w:tcW w:type="dxa" w:w="3264"/>
            <w:vAlign w:val="center"/>
            <w:shd w:fill="FFFFFF"/>
          </w:tcPr>
          <w:p>
            <w:pPr>
              <w:spacing w:after="100" w:before="100"/>
            </w:pPr>
            <w:r>
              <w:rPr>
                <w:b w:val="0"/>
                <w:i w:val="0"/>
                <w:sz w:val="20"/>
              </w:rPr>
              <w:t>Stacking-sequence dependent</w:t>
            </w:r>
          </w:p>
        </w:tc>
        <w:tc>
          <w:tcPr>
            <w:tcW w:type="dxa" w:w="3264"/>
            <w:vAlign w:val="center"/>
            <w:shd w:fill="FFFFFF"/>
          </w:tcPr>
          <w:p>
            <w:pPr>
              <w:spacing w:after="100" w:before="100"/>
            </w:pPr>
            <w:r>
              <w:rPr>
                <w:b w:val="0"/>
                <w:i w:val="0"/>
                <w:sz w:val="20"/>
              </w:rPr>
              <w:t>Relevant to the different damage behavior discussed by NASA</w:t>
            </w:r>
          </w:p>
        </w:tc>
      </w:tr>
      <w:tr>
        <w:trPr>
          <w:cantSplit/>
        </w:trPr>
        <w:tc>
          <w:tcPr>
            <w:tcW w:type="dxa" w:w="3264"/>
            <w:vAlign w:val="center"/>
            <w:shd w:fill="FFFFFF"/>
          </w:tcPr>
          <w:p>
            <w:pPr>
              <w:spacing w:after="100" w:before="100"/>
            </w:pPr>
            <w:r>
              <w:rPr>
                <w:b w:val="0"/>
                <w:i w:val="0"/>
                <w:sz w:val="20"/>
              </w:rPr>
              <w:t>Failure-pressure agreement</w:t>
            </w:r>
          </w:p>
        </w:tc>
        <w:tc>
          <w:tcPr>
            <w:tcW w:type="dxa" w:w="3264"/>
            <w:vAlign w:val="center"/>
            <w:shd w:fill="FFFFFF"/>
          </w:tcPr>
          <w:p>
            <w:pPr>
              <w:spacing w:after="100" w:before="100"/>
            </w:pPr>
            <w:r>
              <w:rPr>
                <w:b w:val="0"/>
                <w:i w:val="0"/>
                <w:sz w:val="20"/>
              </w:rPr>
              <w:t>Not a CDS membrane checkpoint</w:t>
            </w:r>
          </w:p>
        </w:tc>
        <w:tc>
          <w:tcPr>
            <w:tcW w:type="dxa" w:w="3264"/>
            <w:vAlign w:val="center"/>
            <w:shd w:fill="FFFFFF"/>
          </w:tcPr>
          <w:p>
            <w:pPr>
              <w:spacing w:after="100" w:before="100"/>
            </w:pPr>
            <w:r>
              <w:rPr>
                <w:b w:val="0"/>
                <w:i w:val="0"/>
                <w:sz w:val="20"/>
              </w:rPr>
              <w:t>Requires slit-tip fracture and subcritical-damage modeling</w:t>
            </w:r>
          </w:p>
        </w:tc>
      </w:tr>
    </w:tbl>
    <w:p>
      <w:pPr>
        <w:spacing w:after="0"/>
      </w:pPr>
    </w:p>
    <w:p>
      <w:pPr/>
      <w:hyperlink r:id="rId35">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Create the pristine cylinder baseline</w:t>
      </w:r>
    </w:p>
    <w:p>
      <w:pPr/>
      <w:r>
        <w:rPr>
          <w:b w:val="0"/>
          <w:i w:val="0"/>
        </w:rPr>
        <w:t>Build the published 305 mm diameter AS4/3501-6 cylinder as an undamaged membrane-screening case.</w:t>
      </w:r>
    </w:p>
    <w:p>
      <w:pPr>
        <w:pStyle w:val="ListBullet"/>
      </w:pPr>
      <w:r>
        <w:rPr>
          <w:b w:val="0"/>
          <w:i w:val="0"/>
        </w:rPr>
        <w:t>Create or select a traceable AS4/3501-6 orthotropic ply record.</w:t>
      </w:r>
    </w:p>
    <w:p>
      <w:pPr>
        <w:pStyle w:val="ListBullet"/>
      </w:pPr>
      <w:r>
        <w:rPr>
          <w:b w:val="0"/>
          <w:i w:val="0"/>
        </w:rPr>
        <w:t>Build the symmetric quasi-isotropic [90/0/+45/−45]s baseline and a duplicate [0/+45/−45/90]s stacking variant.</w:t>
      </w:r>
    </w:p>
    <w:p>
      <w:pPr>
        <w:pStyle w:val="ListBullet"/>
      </w:pPr>
      <w:r>
        <w:rPr>
          <w:b w:val="0"/>
          <w:i w:val="0"/>
        </w:rPr>
        <w:t>Set the circular-tube geometry by inside diameter and laminate-derived wall thickness.</w:t>
      </w:r>
    </w:p>
    <w:p>
      <w:pPr>
        <w:keepNext/>
      </w:pPr>
      <w:r>
        <w:t>Good practice</w:t>
      </w:r>
    </w:p>
    <w:p>
      <w:pPr/>
      <w:r>
        <w:rPr>
          <w:b w:val="0"/>
          <w:i w:val="0"/>
        </w:rPr>
        <w:t>The source cylinders contained axial slits. The baseline CDS case intentionally omits the slit so global membrane response can be checked before local fracture analysis.</w:t>
      </w:r>
    </w:p>
    <w:p>
      <w:pPr>
        <w:pStyle w:val="Heading2"/>
      </w:pPr>
      <w:r>
        <w:t>Apply the pressure membrane resultants</w:t>
      </w:r>
    </w:p>
    <w:p>
      <w:pPr/>
      <w:r>
        <w:rPr>
          <w:b w:val="0"/>
          <w:i w:val="0"/>
        </w:rPr>
        <w:t>For a closed thin-walled cylinder, internal pressure produces a two-to-one hoop-to-axial membrane stress state.</w:t>
      </w:r>
    </w:p>
    <w:p>
      <w:pPr>
        <w:pStyle w:val="ListBullet"/>
      </w:pPr>
      <w:r>
        <w:rPr>
          <w:b w:val="0"/>
          <w:i w:val="0"/>
        </w:rPr>
        <w:t>Enter the internal pressure and verify LiveLoad identifies the hoop and axial directions.</w:t>
      </w:r>
    </w:p>
    <w:p>
      <w:pPr>
        <w:pStyle w:val="ListBullet"/>
      </w:pPr>
      <w:r>
        <w:rPr>
          <w:b w:val="0"/>
          <w:i w:val="0"/>
        </w:rPr>
        <w:t>If entering resultants directly, use Nhoop = p r and Naxial = p r / 2 with consistent units.</w:t>
      </w:r>
    </w:p>
    <w:p>
      <w:pPr>
        <w:pStyle w:val="ListBullet"/>
      </w:pPr>
      <w:r>
        <w:rPr>
          <w:b w:val="0"/>
          <w:i w:val="0"/>
        </w:rPr>
        <w:t>Run a low-pressure case first and confirm strain signs, hoop-to-axial load ratio and laminate orientation.</w:t>
      </w:r>
    </w:p>
    <w:p>
      <w:pPr>
        <w:pStyle w:val="Heading2"/>
      </w:pPr>
      <w:r>
        <w:t>Screen first-ply and progressive response</w:t>
      </w:r>
    </w:p>
    <w:p>
      <w:pPr/>
      <w:r>
        <w:rPr>
          <w:b w:val="0"/>
          <w:i w:val="0"/>
        </w:rPr>
        <w:t>Run supported maximum-stress, Hashin or other criteria using documented AS4/3501-6 strength inputs.</w:t>
      </w:r>
    </w:p>
    <w:p>
      <w:pPr>
        <w:pStyle w:val="ListBullet"/>
      </w:pPr>
      <w:r>
        <w:rPr>
          <w:b w:val="0"/>
          <w:i w:val="0"/>
        </w:rPr>
        <w:t>Compare first-ply load factors for the two quasi-isotropic stacking sequences.</w:t>
      </w:r>
    </w:p>
    <w:p>
      <w:pPr>
        <w:pStyle w:val="ListBullet"/>
      </w:pPr>
      <w:r>
        <w:rPr>
          <w:b w:val="0"/>
          <w:i w:val="0"/>
        </w:rPr>
        <w:t>Inspect D16 and D26 and the progressive stress–strain history rather than assuming that equal A-matrices give identical damage response.</w:t>
      </w:r>
    </w:p>
    <w:p>
      <w:pPr>
        <w:pStyle w:val="ListBullet"/>
      </w:pPr>
      <w:r>
        <w:rPr>
          <w:b w:val="0"/>
          <w:i w:val="0"/>
        </w:rPr>
        <w:t>Save each case as a named simulation and compare the result tables.</w:t>
      </w:r>
    </w:p>
    <w:p>
      <w:pPr>
        <w:keepNext/>
      </w:pPr>
      <w:r>
        <w:t>Good practice</w:t>
      </w:r>
    </w:p>
    <w:p>
      <w:pPr/>
      <w:r>
        <w:rPr>
          <w:b w:val="0"/>
          <w:i w:val="0"/>
        </w:rPr>
        <w:t>NASA found subcritical damage and stacking-sequence sensitivity. A global laminate criterion cannot resolve slit-tip splitting, delamination or fracture-path changes.</w:t>
      </w:r>
    </w:p>
    <w:p>
      <w:pPr>
        <w:pStyle w:val="Heading2"/>
      </w:pPr>
      <w:r>
        <w:t>Identify the required higher-fidelity handoff</w:t>
      </w:r>
    </w:p>
    <w:p>
      <w:pPr/>
      <w:r>
        <w:rPr>
          <w:b w:val="0"/>
          <w:i w:val="0"/>
        </w:rPr>
        <w:t>Use the CDS result to define loads and material state for a local finite-element or fracture-mechanics model.</w:t>
      </w:r>
    </w:p>
    <w:p>
      <w:pPr>
        <w:pStyle w:val="ListBullet"/>
      </w:pPr>
      <w:r>
        <w:rPr>
          <w:b w:val="0"/>
          <w:i w:val="0"/>
        </w:rPr>
        <w:t>Export the laminate stiffnesses, strengths, pressure resultants and global strains.</w:t>
      </w:r>
    </w:p>
    <w:p>
      <w:pPr>
        <w:pStyle w:val="ListBullet"/>
      </w:pPr>
      <w:r>
        <w:rPr>
          <w:b w:val="0"/>
          <w:i w:val="0"/>
        </w:rPr>
        <w:t>Model the 12.7–50.8 mm axial slit and local mesh outside the current CDS membrane idealization.</w:t>
      </w:r>
    </w:p>
    <w:p>
      <w:pPr>
        <w:pStyle w:val="ListBullet"/>
      </w:pPr>
      <w:r>
        <w:rPr>
          <w:b w:val="0"/>
          <w:i w:val="0"/>
        </w:rPr>
        <w:t>Include nonlinear shell response, delamination and fracture calibration when comparing failure pressure.</w:t>
      </w:r>
    </w:p>
    <w:p>
      <w:pPr>
        <w:pStyle w:val="ListBullet"/>
      </w:pPr>
      <w:r>
        <w:rPr>
          <w:b w:val="0"/>
          <w:i w:val="0"/>
        </w:rPr>
        <w:t>Return validated local-model limits to CDS as documented design constraints rather than hidden correction factors.</w:t>
      </w:r>
    </w:p>
    <w:p>
      <w:pPr>
        <w:pStyle w:val="Heading2"/>
      </w:pPr>
      <w:r>
        <w:t>Document what the comparison proves</w:t>
      </w:r>
    </w:p>
    <w:p>
      <w:pPr/>
      <w:r>
        <w:rPr>
          <w:b w:val="0"/>
          <w:i w:val="0"/>
        </w:rPr>
        <w:t>Record the source, exact stack, pressure convention, failure criterion and excluded physics with the saved run.</w:t>
      </w:r>
    </w:p>
    <w:p>
      <w:pPr>
        <w:pStyle w:val="ListBullet"/>
      </w:pPr>
      <w:r>
        <w:rPr>
          <w:b w:val="0"/>
          <w:i w:val="0"/>
        </w:rPr>
        <w:t>Treat the NASA pressure-cylinder results as external validation context.</w:t>
      </w:r>
    </w:p>
    <w:p>
      <w:pPr>
        <w:pStyle w:val="ListBullet"/>
      </w:pPr>
      <w:r>
        <w:rPr>
          <w:b w:val="0"/>
          <w:i w:val="0"/>
        </w:rPr>
        <w:t>Treat CDS output as a pristine-cylinder screening result unless a supported local-damage model is explicitly active.</w:t>
      </w:r>
    </w:p>
    <w:p>
      <w:pPr>
        <w:pStyle w:val="ListBullet"/>
      </w:pPr>
      <w:r>
        <w:rPr>
          <w:b w:val="0"/>
          <w:i w:val="0"/>
        </w:rPr>
        <w:t>Do not claim agreement on slit failure pressure from an unnotched membrane model.</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6" w:name="chapter_6"/>
      <w:pPr>
        <w:pStyle w:val="Heading1"/>
        <w:pageBreakBefore/>
      </w:pPr>
      <w:r>
        <w:t>6 Published cases Solver-visible results</w:t>
      </w:r>
      <w:bookmarkEnd w:id="6"/>
    </w:p>
    <w:p>
      <w:pPr>
        <w:pStyle w:val="Caption"/>
      </w:pPr>
      <w:hyperlink r:id="rId53">
        <w:r>
          <w:rPr>
            <w:color w:val="176EA4"/>
          </w:rPr>
          <w:t>Online chapter</w:t>
        </w:r>
      </w:hyperlink>
      <w:r>
        <w:t xml:space="preserve"> </w:t>
      </w:r>
    </w:p>
    <w:p>
      <w:pPr/>
      <w:r>
        <w:rPr>
          <w:b w:val="0"/>
          <w:i w:val="0"/>
        </w:rPr>
        <w:t>Choose an example library to explore published material systems, original research, NASA technical reports, and running CDS solver routes without working through one long page.</w:t>
      </w:r>
    </w:p>
    <w:p>
      <w:pPr/>
      <w:r>
        <w:rPr>
          <w:b/>
          <w:i w:val="0"/>
        </w:rPr>
        <w:t>Traceable by design.</w:t>
      </w:r>
      <w:r>
        <w:rPr>
          <w:b w:val="0"/>
          <w:i w:val="0"/>
        </w:rPr>
        <w:t xml:space="preserve"> Published values are transcribed from the linked primary source. CDS plots are calculated or reconstructed from the stated inputs and are clearly labeled; they are not presented as digitized experimental curves.</w:t>
      </w:r>
    </w:p>
    <w:p>
      <w:pPr>
        <w:pStyle w:val="Caption"/>
      </w:pPr>
      <w:r>
        <w:rPr>
          <w:b/>
          <w:i w:val="0"/>
        </w:rPr>
        <w:t>M05</w:t>
      </w:r>
      <w:r>
        <w:rPr>
          <w:b w:val="0"/>
          <w:i w:val="0"/>
        </w:rPr>
        <w:t xml:space="preserve"> </w:t>
      </w:r>
      <w:r>
        <w:rPr>
          <w:b w:val="0"/>
          <w:i w:val="0"/>
        </w:rPr>
        <w:t xml:space="preserve"> </w:t>
      </w:r>
      <w:r>
        <w:rPr>
          <w:b w:val="0"/>
          <w:i w:val="0"/>
        </w:rPr>
        <w:t>Fiber-volume stiffness sweep</w:t>
      </w:r>
      <w:r>
        <w:t xml:space="preserve"> </w:t>
      </w:r>
      <w:r>
        <w:rPr>
          <w:b w:val="0"/>
          <w:i w:val="0"/>
        </w:rPr>
        <w:t>Illustrated example · not a live run</w:t>
      </w:r>
      <w:r>
        <w:t xml:space="preserve"> </w:t>
      </w:r>
    </w:p>
    <w:p>
      <w:r>
        <w:t>Materials</w:t>
      </w:r>
    </w:p>
    <w:p>
      <w:r>
        <w:t>Micro</w:t>
      </w:r>
    </w:p>
    <w:p>
      <w:r>
        <w:t>Properties</w:t>
      </w:r>
    </w:p>
    <w:p>
      <w:pPr>
        <w:pStyle w:val="Heading3"/>
      </w:pPr>
      <w:r>
        <w:t>1 Inputs</w:t>
      </w:r>
    </w:p>
    <w:p>
      <w:pPr>
        <w:keepNext/>
      </w:pPr>
      <w:r>
        <w:rPr>
          <w:b w:val="0"/>
          <w:i w:val="0"/>
        </w:rPr>
        <w:t>01</w:t>
      </w:r>
    </w:p>
    <w:p>
      <w:pPr/>
      <w:r>
        <w:rPr>
          <w:b w:val="0"/>
          <w:i w:val="0"/>
        </w:rPr>
        <w:t>Ef1 230 GPa</w:t>
      </w:r>
    </w:p>
    <w:p>
      <w:pPr>
        <w:keepNext/>
      </w:pPr>
      <w:r>
        <w:rPr>
          <w:b w:val="0"/>
          <w:i w:val="0"/>
        </w:rPr>
        <w:t>02</w:t>
      </w:r>
    </w:p>
    <w:p>
      <w:pPr/>
      <w:r>
        <w:rPr>
          <w:b w:val="0"/>
          <w:i w:val="0"/>
        </w:rPr>
        <w:t>Em 3.5 GPa</w:t>
      </w:r>
    </w:p>
    <w:p>
      <w:pPr>
        <w:keepNext/>
      </w:pPr>
      <w:r>
        <w:rPr>
          <w:b w:val="0"/>
          <w:i w:val="0"/>
        </w:rPr>
        <w:t>03</w:t>
      </w:r>
    </w:p>
    <w:p>
      <w:pPr/>
      <w:r>
        <w:rPr>
          <w:b w:val="0"/>
          <w:i w:val="0"/>
        </w:rPr>
        <w:t>Vf 0.35–0.65</w:t>
      </w:r>
    </w:p>
    <w:p>
      <w:pPr>
        <w:keepNext/>
      </w:pPr>
      <w:r>
        <w:rPr>
          <w:b w:val="0"/>
          <w:i w:val="0"/>
        </w:rPr>
        <w:t>04</w:t>
      </w:r>
    </w:p>
    <w:p>
      <w:pPr/>
      <w:r>
        <w:rPr>
          <w:b w:val="0"/>
          <w:i w:val="0"/>
        </w:rPr>
        <w:t>longitudinal ROM route</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6" name="Picture 6" descr="CDS workflow or model illustration"/>
            <wp:cNvGraphicFramePr>
              <a:graphicFrameLocks noChangeAspect="1"/>
            </wp:cNvGraphicFramePr>
            <a:graphic>
              <a:graphicData uri="http://schemas.openxmlformats.org/drawingml/2006/picture">
                <pic:pic>
                  <pic:nvPicPr>
                    <pic:cNvPr id="0" name="rsvg-ddd54c26e871b6a7c7081fe05952d3c130fb651b23026180bc614fed723480a7.png"/>
                    <pic:cNvPicPr/>
                  </pic:nvPicPr>
                  <pic:blipFill>
                    <a:blip r:embed="rId54"/>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solver increases E1 from 82.8 to 150.7 GPa across the selected fiber-volume range.</w:t>
      </w:r>
    </w:p>
    <w:p>
      <w:r>
        <w:rPr>
          <w:b/>
          <w:i w:val="0"/>
        </w:rPr>
        <w:t>Result basis</w:t>
      </w:r>
      <w:r>
        <w:t xml:space="preserve"> </w:t>
      </w:r>
      <w:r>
        <w:rPr>
          <w:b w:val="0"/>
          <w:i w:val="0"/>
        </w:rPr>
        <w:t>CDS r15 micromechanics sweep</w:t>
      </w:r>
      <w:r>
        <w:rPr>
          <w:b w:val="0"/>
          <w:i w:val="0"/>
        </w:rPr>
        <w:t xml:space="preserve"> </w:t>
      </w:r>
      <w:r>
        <w:rPr>
          <w:b w:val="0"/>
          <w:i w:val="0"/>
        </w:rPr>
        <w:t>. Values and trends reproduce this page’s example; this is not a fresh solver result or an additional validation claim.</w:t>
      </w:r>
    </w:p>
    <w:p>
      <w:hyperlink r:id="rId55">
        <w:r>
          <w:rPr>
            <w:color w:val="176EA4"/>
          </w:rPr>
          <w:t>Explore micromechanics inputs and answer →</w:t>
        </w:r>
      </w:hyperlink>
      <w:r>
        <w:t xml:space="preserve"> </w:t>
      </w:r>
    </w:p>
    <w:p>
      <w:pPr>
        <w:pStyle w:val="Caption"/>
      </w:pPr>
      <w:r>
        <w:rPr>
          <w:b/>
          <w:i w:val="0"/>
        </w:rPr>
        <w:t>L01</w:t>
      </w:r>
      <w:r>
        <w:rPr>
          <w:b w:val="0"/>
          <w:i w:val="0"/>
        </w:rPr>
        <w:t xml:space="preserve"> </w:t>
      </w:r>
      <w:r>
        <w:rPr>
          <w:b w:val="0"/>
          <w:i w:val="0"/>
        </w:rPr>
        <w:t xml:space="preserve"> </w:t>
      </w:r>
      <w:r>
        <w:rPr>
          <w:b w:val="0"/>
          <w:i w:val="0"/>
        </w:rPr>
        <w:t>Quasi-isotropic laminate family</w:t>
      </w:r>
      <w:r>
        <w:t xml:space="preserve"> </w:t>
      </w:r>
      <w:r>
        <w:rPr>
          <w:b w:val="0"/>
          <w:i w:val="0"/>
        </w:rPr>
        <w:t>Illustrated example · not a live run</w:t>
      </w:r>
      <w:r>
        <w:t xml:space="preserve"> </w:t>
      </w:r>
    </w:p>
    <w:p>
      <w:r>
        <w:t>Ply properties</w:t>
      </w:r>
    </w:p>
    <w:p>
      <w:r>
        <w:t>Laminates</w:t>
      </w:r>
    </w:p>
    <w:p>
      <w:r>
        <w:t>Response</w:t>
      </w:r>
    </w:p>
    <w:p>
      <w:pPr>
        <w:pStyle w:val="Heading3"/>
      </w:pPr>
      <w:r>
        <w:t>1 Inputs</w:t>
      </w:r>
    </w:p>
    <w:p>
      <w:pPr>
        <w:keepNext/>
      </w:pPr>
      <w:r>
        <w:rPr>
          <w:b w:val="0"/>
          <w:i w:val="0"/>
        </w:rPr>
        <w:t>01</w:t>
      </w:r>
    </w:p>
    <w:p>
      <w:pPr/>
      <w:r>
        <w:rPr>
          <w:b w:val="0"/>
          <w:i w:val="0"/>
        </w:rPr>
        <w:t>QI-8</w:t>
      </w:r>
    </w:p>
    <w:p>
      <w:pPr>
        <w:keepNext/>
      </w:pPr>
      <w:r>
        <w:rPr>
          <w:b w:val="0"/>
          <w:i w:val="0"/>
        </w:rPr>
        <w:t>02</w:t>
      </w:r>
    </w:p>
    <w:p>
      <w:pPr/>
      <w:r>
        <w:rPr>
          <w:b w:val="0"/>
          <w:i w:val="0"/>
        </w:rPr>
        <w:t>cross-ply</w:t>
      </w:r>
    </w:p>
    <w:p>
      <w:pPr>
        <w:keepNext/>
      </w:pPr>
      <w:r>
        <w:rPr>
          <w:b w:val="0"/>
          <w:i w:val="0"/>
        </w:rPr>
        <w:t>03</w:t>
      </w:r>
    </w:p>
    <w:p>
      <w:pPr/>
      <w:r>
        <w:rPr>
          <w:b w:val="0"/>
          <w:i w:val="0"/>
        </w:rPr>
        <w:t>±45 angle-ply</w:t>
      </w:r>
    </w:p>
    <w:p>
      <w:pPr>
        <w:keepNext/>
      </w:pPr>
      <w:r>
        <w:rPr>
          <w:b w:val="0"/>
          <w:i w:val="0"/>
        </w:rPr>
        <w:t>04</w:t>
      </w:r>
    </w:p>
    <w:p>
      <w:pPr/>
      <w:r>
        <w:rPr>
          <w:b w:val="0"/>
          <w:i w:val="0"/>
        </w:rPr>
        <w:t>0/±60 tri-axial</w:t>
      </w:r>
    </w:p>
    <w:p>
      <w:pPr>
        <w:keepNext/>
      </w:pPr>
      <w:r>
        <w:rPr>
          <w:b w:val="0"/>
          <w:i w:val="0"/>
        </w:rPr>
        <w:t>05</w:t>
      </w:r>
    </w:p>
    <w:p>
      <w:pPr/>
      <w:r>
        <w:rPr>
          <w:b w:val="0"/>
          <w:i w:val="0"/>
        </w:rPr>
        <w:t>0.125 mm plies</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7" name="Picture 7" descr="CDS workflow or model illustration"/>
            <wp:cNvGraphicFramePr>
              <a:graphicFrameLocks noChangeAspect="1"/>
            </wp:cNvGraphicFramePr>
            <a:graphic>
              <a:graphicData uri="http://schemas.openxmlformats.org/drawingml/2006/picture">
                <pic:pic>
                  <pic:nvPicPr>
                    <pic:cNvPr id="0" name="rsvg-e4e3477b41afd050fa9a281fa05a9e8a510d542ed861702c0cdaed6ca1e8e4f6.png"/>
                    <pic:cNvPicPr/>
                  </pic:nvPicPr>
                  <pic:blipFill>
                    <a:blip r:embed="rId56"/>
                    <a:stretch>
                      <a:fillRect/>
                    </a:stretch>
                  </pic:blipFill>
                  <pic:spPr>
                    <a:xfrm>
                      <a:off x="0" y="0"/>
                      <a:ext cx="6217920" cy="2914650"/>
                    </a:xfrm>
                    <a:prstGeom prst="rect"/>
                  </pic:spPr>
                </pic:pic>
              </a:graphicData>
            </a:graphic>
          </wp:inline>
        </w:drawing>
      </w:r>
    </w:p>
    <w:p>
      <w:pPr>
        <w:keepNext/>
      </w:pPr>
      <w:r>
        <w:t>What the result shows</w:t>
      </w:r>
    </w:p>
    <w:p>
      <w:pPr/>
      <w:r>
        <w:rPr>
          <w:b w:val="0"/>
          <w:i w:val="0"/>
        </w:rPr>
        <w:t>QI-8 and 0/±60 return the same Ex = Ey = 69.68 GPa and Gxy = 26.88 GPa.</w:t>
      </w:r>
    </w:p>
    <w:p>
      <w:r>
        <w:rPr>
          <w:b/>
          <w:i w:val="0"/>
        </w:rPr>
        <w:t>Result basis</w:t>
      </w:r>
      <w:r>
        <w:t xml:space="preserve"> </w:t>
      </w:r>
      <w:r>
        <w:rPr>
          <w:b w:val="0"/>
          <w:i w:val="0"/>
        </w:rPr>
        <w:t>Published layup families · CDS CLT</w:t>
      </w:r>
      <w:r>
        <w:rPr>
          <w:b w:val="0"/>
          <w:i w:val="0"/>
        </w:rPr>
        <w:t xml:space="preserve"> </w:t>
      </w:r>
      <w:r>
        <w:rPr>
          <w:b w:val="0"/>
          <w:i w:val="0"/>
        </w:rPr>
        <w:t>. Values and trends reproduce this page’s example; this is not a fresh solver result or an additional validation claim.</w:t>
      </w:r>
    </w:p>
    <w:p>
      <w:hyperlink r:id="rId57">
        <w:r>
          <w:rPr>
            <w:color w:val="176EA4"/>
          </w:rPr>
          <w:t>Explore laminates inputs and answer →</w:t>
        </w:r>
      </w:hyperlink>
      <w:r>
        <w:t xml:space="preserve"> </w:t>
      </w:r>
    </w:p>
    <w:p>
      <w:pPr>
        <w:pStyle w:val="Caption"/>
      </w:pPr>
      <w:r>
        <w:rPr>
          <w:b/>
          <w:i w:val="0"/>
        </w:rPr>
        <w:t>A03</w:t>
      </w:r>
      <w:r>
        <w:rPr>
          <w:b w:val="0"/>
          <w:i w:val="0"/>
        </w:rPr>
        <w:t xml:space="preserve"> </w:t>
      </w:r>
      <w:r>
        <w:rPr>
          <w:b w:val="0"/>
          <w:i w:val="0"/>
        </w:rPr>
        <w:t xml:space="preserve"> </w:t>
      </w:r>
      <w:r>
        <w:rPr>
          <w:b w:val="0"/>
          <w:i w:val="0"/>
        </w:rPr>
        <w:t>First-ply failure screen</w:t>
      </w:r>
      <w:r>
        <w:t xml:space="preserve"> </w:t>
      </w:r>
      <w:r>
        <w:rPr>
          <w:b w:val="0"/>
          <w:i w:val="0"/>
        </w:rPr>
        <w:t>Illustrated example · not a live run</w:t>
      </w:r>
      <w:r>
        <w:t xml:space="preserve"> </w:t>
      </w:r>
    </w:p>
    <w:p>
      <w:r>
        <w:t>Laminate</w:t>
      </w:r>
    </w:p>
    <w:p>
      <w:r>
        <w:t>Geometry / cycle</w:t>
      </w:r>
    </w:p>
    <w:p>
      <w:r>
        <w:t>CASES</w:t>
      </w:r>
    </w:p>
    <w:p>
      <w:r>
        <w:t>Response</w:t>
      </w:r>
    </w:p>
    <w:p>
      <w:pPr>
        <w:pStyle w:val="Heading3"/>
      </w:pPr>
      <w:r>
        <w:t>1 Inputs</w:t>
      </w:r>
    </w:p>
    <w:p>
      <w:pPr>
        <w:keepNext/>
      </w:pPr>
      <w:r>
        <w:rPr>
          <w:b w:val="0"/>
          <w:i w:val="0"/>
        </w:rPr>
        <w:t>01</w:t>
      </w:r>
    </w:p>
    <w:p>
      <w:pPr/>
      <w:r>
        <w:rPr>
          <w:b w:val="0"/>
          <w:i w:val="0"/>
        </w:rPr>
        <w:t>[0/45/−45/90]s</w:t>
      </w:r>
    </w:p>
    <w:p>
      <w:pPr>
        <w:keepNext/>
      </w:pPr>
      <w:r>
        <w:rPr>
          <w:b w:val="0"/>
          <w:i w:val="0"/>
        </w:rPr>
        <w:t>02</w:t>
      </w:r>
    </w:p>
    <w:p>
      <w:pPr/>
      <w:r>
        <w:rPr>
          <w:b w:val="0"/>
          <w:i w:val="0"/>
        </w:rPr>
        <w:t>Nx 300 N/mm</w:t>
      </w:r>
    </w:p>
    <w:p>
      <w:pPr>
        <w:keepNext/>
      </w:pPr>
      <w:r>
        <w:rPr>
          <w:b w:val="0"/>
          <w:i w:val="0"/>
        </w:rPr>
        <w:t>03</w:t>
      </w:r>
    </w:p>
    <w:p>
      <w:pPr/>
      <w:r>
        <w:rPr>
          <w:b w:val="0"/>
          <w:i w:val="0"/>
        </w:rPr>
        <w:t>1.0 mm total thickness</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8" name="Picture 8" descr="CDS workflow or model illustration"/>
            <wp:cNvGraphicFramePr>
              <a:graphicFrameLocks noChangeAspect="1"/>
            </wp:cNvGraphicFramePr>
            <a:graphic>
              <a:graphicData uri="http://schemas.openxmlformats.org/drawingml/2006/picture">
                <pic:pic>
                  <pic:nvPicPr>
                    <pic:cNvPr id="0" name="rsvg-c7355ece04c5818563dff1e4c0357b81a885746feb6c8bc5ec70376c36932eb0.png"/>
                    <pic:cNvPicPr/>
                  </pic:nvPicPr>
                  <pic:blipFill>
                    <a:blip r:embed="rId58"/>
                    <a:stretch>
                      <a:fillRect/>
                    </a:stretch>
                  </pic:blipFill>
                  <pic:spPr>
                    <a:xfrm>
                      <a:off x="0" y="0"/>
                      <a:ext cx="6217920" cy="2914650"/>
                    </a:xfrm>
                    <a:prstGeom prst="rect"/>
                  </pic:spPr>
                </pic:pic>
              </a:graphicData>
            </a:graphic>
          </wp:inline>
        </w:drawing>
      </w:r>
    </w:p>
    <w:p>
      <w:r>
        <w:t>Failure threshold exceeded</w:t>
      </w:r>
    </w:p>
    <w:p>
      <w:pPr/>
      <w:r>
        <w:rPr>
          <w:b w:val="0"/>
          <w:i w:val="0"/>
        </w:rPr>
        <w:t>The 90° plies reach FI 1.106 first; the example load is above predicted first-ply failure.</w:t>
      </w:r>
    </w:p>
    <w:p>
      <w:r>
        <w:rPr>
          <w:b/>
          <w:i w:val="0"/>
        </w:rPr>
        <w:t>Result basis</w:t>
      </w:r>
      <w:r>
        <w:t xml:space="preserve"> </w:t>
      </w:r>
      <w:r>
        <w:rPr>
          <w:b w:val="0"/>
          <w:i w:val="0"/>
        </w:rPr>
        <w:t>Published allowables · CDS CLT/Tsai–Wu</w:t>
      </w:r>
      <w:r>
        <w:rPr>
          <w:b w:val="0"/>
          <w:i w:val="0"/>
        </w:rPr>
        <w:t xml:space="preserve"> </w:t>
      </w:r>
      <w:r>
        <w:rPr>
          <w:b w:val="0"/>
          <w:i w:val="0"/>
        </w:rPr>
        <w:t>. Values and trends reproduce this page’s example; this is not a fresh solver result or an additional validation claim.</w:t>
      </w:r>
    </w:p>
    <w:p>
      <w:hyperlink r:id="rId59">
        <w:r>
          <w:rPr>
            <w:color w:val="176EA4"/>
          </w:rPr>
          <w:t>Explore analyses inputs and answer →</w:t>
        </w:r>
      </w:hyperlink>
      <w:r>
        <w:t xml:space="preserve"> </w:t>
      </w:r>
    </w:p>
    <w:p>
      <w:pPr/>
      <w:r>
        <w:rPr>
          <w:b w:val="0"/>
          <w:i w:val="0"/>
        </w:rPr>
        <w:t>Example subpages</w:t>
      </w:r>
    </w:p>
    <w:p>
      <w:pPr/>
      <w:r>
        <w:rPr>
          <w:b w:val="0"/>
          <w:i w:val="0"/>
        </w:rPr>
        <w:t>Choose one focused library</w:t>
      </w:r>
    </w:p>
    <w:p>
      <w:pPr/>
      <w:r>
        <w:rPr>
          <w:b w:val="0"/>
          <w:i w:val="0"/>
        </w:rPr>
        <w:t>10</w:t>
      </w:r>
      <w:r>
        <w:rPr>
          <w:b w:val="0"/>
          <w:i w:val="0"/>
        </w:rPr>
        <w:t xml:space="preserve"> </w:t>
      </w:r>
      <w:r>
        <w:rPr>
          <w:b w:val="0"/>
          <w:i w:val="0"/>
        </w:rPr>
        <w:t xml:space="preserve"> cases</w:t>
      </w:r>
      <w:r>
        <w:t xml:space="preserve"> </w:t>
      </w:r>
    </w:p>
    <w:p>
      <w:pPr>
        <w:pStyle w:val="Heading2"/>
      </w:pPr>
      <w:r>
        <w:t>Micromechanics</w:t>
      </w:r>
    </w:p>
    <w:p>
      <w:pPr/>
      <w:r>
        <w:rPr>
          <w:b w:val="0"/>
          <w:i w:val="0"/>
        </w:rPr>
        <w:t>Translate constituent, fiber-form, and published lamina data into solver-ready engineering properties.</w:t>
      </w:r>
    </w:p>
    <w:p>
      <w:r>
        <w:t>Open library</w:t>
      </w:r>
    </w:p>
    <w:p>
      <w:pPr/>
      <w:r>
        <w:rPr>
          <w:b w:val="0"/>
          <w:i w:val="0"/>
        </w:rPr>
        <w:t>8</w:t>
      </w:r>
      <w:r>
        <w:rPr>
          <w:b w:val="0"/>
          <w:i w:val="0"/>
        </w:rPr>
        <w:t xml:space="preserve"> </w:t>
      </w:r>
      <w:r>
        <w:rPr>
          <w:b w:val="0"/>
          <w:i w:val="0"/>
        </w:rPr>
        <w:t xml:space="preserve"> cases</w:t>
      </w:r>
      <w:r>
        <w:t xml:space="preserve"> </w:t>
      </w:r>
    </w:p>
    <w:p>
      <w:pPr>
        <w:pStyle w:val="Heading2"/>
      </w:pPr>
      <w:r>
        <w:t>Laminates</w:t>
      </w:r>
    </w:p>
    <w:p>
      <w:pPr/>
      <w:r>
        <w:rPr>
          <w:b w:val="0"/>
          <w:i w:val="0"/>
        </w:rPr>
        <w:t>Turn ply data and stacking sequences into extensional stiffness, equivalent laminate families, and design-level comparisons.</w:t>
      </w:r>
    </w:p>
    <w:p>
      <w:r>
        <w:t>Open library</w:t>
      </w:r>
    </w:p>
    <w:p>
      <w:pPr/>
      <w:r>
        <w:rPr>
          <w:b w:val="0"/>
          <w:i w:val="0"/>
        </w:rPr>
        <w:t>9</w:t>
      </w:r>
      <w:r>
        <w:rPr>
          <w:b w:val="0"/>
          <w:i w:val="0"/>
        </w:rPr>
        <w:t xml:space="preserve"> </w:t>
      </w:r>
      <w:r>
        <w:rPr>
          <w:b w:val="0"/>
          <w:i w:val="0"/>
        </w:rPr>
        <w:t xml:space="preserve"> cases</w:t>
      </w:r>
      <w:r>
        <w:t xml:space="preserve"> </w:t>
      </w:r>
    </w:p>
    <w:p>
      <w:pPr>
        <w:pStyle w:val="Heading2"/>
      </w:pPr>
      <w:r>
        <w:t>Analyses</w:t>
      </w:r>
    </w:p>
    <w:p>
      <w:pPr/>
      <w:r>
        <w:rPr>
          <w:b w:val="0"/>
          <w:i w:val="0"/>
        </w:rPr>
        <w:t>Exercise environmental, processing, and failure blocks with traceable material systems and explicit solver assumptions.</w:t>
      </w:r>
    </w:p>
    <w:p>
      <w:r>
        <w:t>Open library</w:t>
      </w:r>
    </w:p>
    <w:p>
      <w:pPr/>
      <w:r>
        <w:rPr>
          <w:b w:val="0"/>
          <w:i w:val="0"/>
        </w:rPr>
        <w:t>6</w:t>
      </w:r>
      <w:r>
        <w:rPr>
          <w:b w:val="0"/>
          <w:i w:val="0"/>
        </w:rPr>
        <w:t xml:space="preserve"> </w:t>
      </w:r>
      <w:r>
        <w:rPr>
          <w:b w:val="0"/>
          <w:i w:val="0"/>
        </w:rPr>
        <w:t xml:space="preserve"> files</w:t>
      </w:r>
      <w:r>
        <w:t xml:space="preserve"> </w:t>
      </w:r>
    </w:p>
    <w:p>
      <w:pPr>
        <w:pStyle w:val="Heading2"/>
      </w:pPr>
      <w:r>
        <w:t>Starter files</w:t>
      </w:r>
    </w:p>
    <w:p>
      <w:pPr/>
      <w:r>
        <w:rPr>
          <w:b w:val="0"/>
          <w:i w:val="0"/>
        </w:rPr>
        <w:t>Download runnable solver cases and compact CSV inputs for direct inspection and adaptation.</w:t>
      </w:r>
    </w:p>
    <w:p>
      <w:r>
        <w:t>Open downloads</w:t>
      </w:r>
    </w:p>
    <w:p>
      <w:bookmarkStart w:id="7" w:name="chapter_7"/>
      <w:pPr>
        <w:pStyle w:val="Heading1"/>
        <w:pageBreakBefore/>
      </w:pPr>
      <w:r>
        <w:t>7 Analyses Solver-visible results</w:t>
      </w:r>
      <w:bookmarkEnd w:id="7"/>
    </w:p>
    <w:p>
      <w:pPr>
        <w:pStyle w:val="Caption"/>
      </w:pPr>
      <w:hyperlink r:id="rId60">
        <w:r>
          <w:rPr>
            <w:color w:val="176EA4"/>
          </w:rPr>
          <w:t>Online chapter</w:t>
        </w:r>
      </w:hyperlink>
      <w:r>
        <w:t xml:space="preserve"> </w:t>
      </w:r>
    </w:p>
    <w:p>
      <w:pPr/>
      <w:r>
        <w:rPr>
          <w:b w:val="0"/>
          <w:i w:val="0"/>
        </w:rPr>
        <w:t>Exercise environmental, processing, and failure blocks with traceable material systems and explicit solver assumptions.</w:t>
      </w:r>
      <w:r>
        <w:rPr>
          <w:b w:val="0"/>
          <w:i w:val="0"/>
        </w:rPr>
        <w:t xml:space="preserve"> </w:t>
      </w:r>
      <w:r>
        <w:rPr>
          <w:b w:val="0"/>
          <w:i w:val="0"/>
        </w:rPr>
        <w:t xml:space="preserve"> Every case identifies its inputs, calculated readout, provenance, and primary technical sources.</w:t>
      </w:r>
    </w:p>
    <w:p>
      <w:pPr/>
      <w:r>
        <w:rPr>
          <w:b/>
          <w:i w:val="0"/>
        </w:rPr>
        <w:t>Traceable by design.</w:t>
      </w:r>
      <w:r>
        <w:rPr>
          <w:b w:val="0"/>
          <w:i w:val="0"/>
        </w:rPr>
        <w:t xml:space="preserve"> Published values are transcribed from linked primary sources. CDS plots are calculated or reconstructed from the stated inputs and are clearly labeled.</w:t>
      </w:r>
    </w:p>
    <w:p>
      <w:pPr/>
      <w:r>
        <w:rPr>
          <w:b w:val="0"/>
          <w:i w:val="0"/>
        </w:rPr>
        <w:t>Example class</w:t>
      </w:r>
    </w:p>
    <w:p>
      <w:pPr>
        <w:pStyle w:val="Heading2"/>
      </w:pPr>
      <w:r>
        <w:t>Analyses</w:t>
      </w:r>
    </w:p>
    <w:p>
      <w:pPr/>
      <w:r>
        <w:rPr>
          <w:b w:val="0"/>
          <w:i w:val="0"/>
        </w:rPr>
        <w:t>Exercise environmental, processing, and failure blocks with traceable material systems and explicit solver assumptions.</w:t>
      </w:r>
    </w:p>
    <w:p>
      <w:r>
        <w:rPr>
          <w:b w:val="0"/>
          <w:i w:val="0"/>
        </w:rPr>
        <w:t>A01</w:t>
      </w:r>
      <w:r>
        <w:t xml:space="preserve"> </w:t>
      </w:r>
      <w:r>
        <w:rPr>
          <w:b w:val="0"/>
          <w:i w:val="0"/>
        </w:rPr>
        <w:t>Published material system · CDS scenario</w:t>
      </w:r>
      <w:r>
        <w:t xml:space="preserve"> </w:t>
      </w:r>
    </w:p>
    <w:p>
      <w:pPr>
        <w:pStyle w:val="Heading3"/>
      </w:pPr>
      <w:r>
        <w:t>AS/3501-6 cure-cycle contour</w:t>
      </w:r>
    </w:p>
    <w:p>
      <w:pPr/>
      <w:r>
        <w:rPr>
          <w:b w:val="0"/>
          <w:i w:val="0"/>
        </w:rPr>
        <w:t>Resolve temperature and cure-state evolution through laminate thickness, including the exotherm region that a surface thermocouple can miss.</w:t>
      </w:r>
    </w:p>
    <w:p>
      <w:pPr>
        <w:keepNext/>
      </w:pPr>
      <w:r>
        <w:rPr>
          <w:b/>
          <w:i w:val="0"/>
        </w:rPr>
        <w:t>Sources and theory (</w:t>
      </w:r>
      <w:r>
        <w:rPr>
          <w:b/>
          <w:i w:val="0"/>
        </w:rPr>
        <w:t xml:space="preserve"> </w:t>
      </w:r>
      <w:r>
        <w:rPr>
          <w:b/>
          <w:i w:val="0"/>
        </w:rPr>
        <w:t>1</w:t>
      </w:r>
      <w:r>
        <w:rPr>
          <w:b/>
          <w:i w:val="0"/>
        </w:rPr>
        <w:t xml:space="preserve"> </w:t>
      </w:r>
      <w:r>
        <w:rPr>
          <w:b/>
          <w:i w:val="0"/>
        </w:rPr>
        <w:t>)</w:t>
      </w:r>
    </w:p>
    <w:p>
      <w:hyperlink r:id="rId61">
        <w:r>
          <w:rPr>
            <w:color w:val="176EA4"/>
          </w:rPr>
          <w:t>Loos &amp; Springer (1983), curing of epoxy composites </w:t>
        </w:r>
      </w:hyperlink>
      <w:r>
        <w:t xml:space="preserve"> </w:t>
      </w:r>
    </w:p>
    <w:p>
      <w:pPr>
        <w:pStyle w:val="Caption"/>
      </w:pPr>
      <w:r>
        <w:rPr>
          <w:b/>
          <w:i w:val="0"/>
        </w:rPr>
        <w:t>A01</w:t>
      </w:r>
      <w:r>
        <w:rPr>
          <w:b w:val="0"/>
          <w:i w:val="0"/>
        </w:rPr>
        <w:t xml:space="preserve"> </w:t>
      </w:r>
      <w:r>
        <w:rPr>
          <w:b w:val="0"/>
          <w:i w:val="0"/>
        </w:rPr>
        <w:t xml:space="preserve"> </w:t>
      </w:r>
      <w:r>
        <w:rPr>
          <w:b w:val="0"/>
          <w:i w:val="0"/>
        </w:rPr>
        <w:t>AS/3501-6 cure-cycle contour</w:t>
      </w:r>
      <w:r>
        <w:t xml:space="preserve"> </w:t>
      </w:r>
      <w:r>
        <w:rPr>
          <w:b w:val="0"/>
          <w:i w:val="0"/>
        </w:rPr>
        <w:t>Illustrated example · not a live run</w:t>
      </w:r>
      <w:r>
        <w:t xml:space="preserve"> </w:t>
      </w:r>
    </w:p>
    <w:p>
      <w:r>
        <w:t>Laminate</w:t>
      </w:r>
    </w:p>
    <w:p>
      <w:r>
        <w:t>Geometry / cycle</w:t>
      </w:r>
    </w:p>
    <w:p>
      <w:r>
        <w:t>CASES</w:t>
      </w:r>
    </w:p>
    <w:p>
      <w:r>
        <w:t>Response</w:t>
      </w:r>
    </w:p>
    <w:p>
      <w:pPr>
        <w:pStyle w:val="Heading3"/>
      </w:pPr>
      <w:r>
        <w:t>1 Inputs</w:t>
      </w:r>
    </w:p>
    <w:p>
      <w:pPr>
        <w:keepNext/>
      </w:pPr>
      <w:r>
        <w:rPr>
          <w:b w:val="0"/>
          <w:i w:val="0"/>
        </w:rPr>
        <w:t>01</w:t>
      </w:r>
    </w:p>
    <w:p>
      <w:pPr/>
      <w:r>
        <w:rPr>
          <w:b w:val="0"/>
          <w:i w:val="0"/>
        </w:rPr>
        <w:t>Hercules AS/3501-6</w:t>
      </w:r>
    </w:p>
    <w:p>
      <w:pPr>
        <w:keepNext/>
      </w:pPr>
      <w:r>
        <w:rPr>
          <w:b w:val="0"/>
          <w:i w:val="0"/>
        </w:rPr>
        <w:t>02</w:t>
      </w:r>
    </w:p>
    <w:p>
      <w:pPr/>
      <w:r>
        <w:rPr>
          <w:b w:val="0"/>
          <w:i w:val="0"/>
        </w:rPr>
        <w:t>time × thickness grid</w:t>
      </w:r>
    </w:p>
    <w:p>
      <w:pPr>
        <w:keepNext/>
      </w:pPr>
      <w:r>
        <w:rPr>
          <w:b w:val="0"/>
          <w:i w:val="0"/>
        </w:rPr>
        <w:t>03</w:t>
      </w:r>
    </w:p>
    <w:p>
      <w:pPr/>
      <w:r>
        <w:rPr>
          <w:b w:val="0"/>
          <w:i w:val="0"/>
        </w:rPr>
        <w:t>autocatalytic cure block</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9" name="Picture 9" descr="CDS workflow or model illustration"/>
            <wp:cNvGraphicFramePr>
              <a:graphicFrameLocks noChangeAspect="1"/>
            </wp:cNvGraphicFramePr>
            <a:graphic>
              <a:graphicData uri="http://schemas.openxmlformats.org/drawingml/2006/picture">
                <pic:pic>
                  <pic:nvPicPr>
                    <pic:cNvPr id="0" name="rsvg-fd0e5df1a7a89ce43c7c541d3a3ff0fa9eaf5ce4107ab2e72fe75fdb77701fa5.png"/>
                    <pic:cNvPicPr/>
                  </pic:nvPicPr>
                  <pic:blipFill>
                    <a:blip r:embed="rId62"/>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contour exposes the modeled interior thermal peak before cooldown begins.</w:t>
      </w:r>
    </w:p>
    <w:p>
      <w:r>
        <w:rPr>
          <w:b/>
          <w:i w:val="0"/>
        </w:rPr>
        <w:t>Result basis</w:t>
      </w:r>
      <w:r>
        <w:t xml:space="preserve"> </w:t>
      </w:r>
      <w:r>
        <w:rPr>
          <w:b w:val="0"/>
          <w:i w:val="0"/>
        </w:rPr>
        <w:t>Published material system · CDS scenario</w:t>
      </w:r>
      <w:r>
        <w:rPr>
          <w:b w:val="0"/>
          <w:i w:val="0"/>
        </w:rPr>
        <w:t xml:space="preserve"> </w:t>
      </w:r>
      <w:r>
        <w:rPr>
          <w:b w:val="0"/>
          <w:i w:val="0"/>
        </w:rPr>
        <w:t>. Values and trends reproduce this page’s example; this is not a fresh solver result or an additional validation claim.</w:t>
      </w:r>
    </w:p>
    <w:p>
      <w:r>
        <w:rPr>
          <w:b w:val="0"/>
          <w:i w:val="0"/>
        </w:rPr>
        <w:t>A02</w:t>
      </w:r>
      <w:r>
        <w:t xml:space="preserve"> </w:t>
      </w:r>
      <w:r>
        <w:rPr>
          <w:b w:val="0"/>
          <w:i w:val="0"/>
        </w:rPr>
        <w:t>Published range · CDS Fickian curves</w:t>
      </w:r>
      <w:r>
        <w:t xml:space="preserve"> </w:t>
      </w:r>
    </w:p>
    <w:p>
      <w:pPr>
        <w:pStyle w:val="Heading3"/>
      </w:pPr>
      <w:r>
        <w:t>T300/Fiberite 1034 moisture uptake</w:t>
      </w:r>
    </w:p>
    <w:p>
      <w:pPr/>
      <w:r>
        <w:rPr>
          <w:b w:val="0"/>
          <w:i w:val="0"/>
        </w:rPr>
        <w:t>Run the one-dimensional Fickian block across the original experimental temperature range and compare the approach to a 1.5% saturation case.</w:t>
      </w:r>
    </w:p>
    <w:p>
      <w:pPr>
        <w:keepNext/>
      </w:pPr>
      <w:r>
        <w:rPr>
          <w:b/>
          <w:i w:val="0"/>
        </w:rPr>
        <w:t>Sources and theory (</w:t>
      </w:r>
      <w:r>
        <w:rPr>
          <w:b/>
          <w:i w:val="0"/>
        </w:rPr>
        <w:t xml:space="preserve"> </w:t>
      </w:r>
      <w:r>
        <w:rPr>
          <w:b/>
          <w:i w:val="0"/>
        </w:rPr>
        <w:t>2</w:t>
      </w:r>
      <w:r>
        <w:rPr>
          <w:b/>
          <w:i w:val="0"/>
        </w:rPr>
        <w:t xml:space="preserve"> </w:t>
      </w:r>
      <w:r>
        <w:rPr>
          <w:b/>
          <w:i w:val="0"/>
        </w:rPr>
        <w:t>)</w:t>
      </w:r>
    </w:p>
    <w:p>
      <w:hyperlink r:id="rId63">
        <w:r>
          <w:rPr>
            <w:color w:val="176EA4"/>
          </w:rPr>
          <w:t>Shen &amp; Springer (1976), moisture absorption/desorption </w:t>
        </w:r>
      </w:hyperlink>
      <w:r>
        <w:t xml:space="preserve"> </w:t>
      </w:r>
    </w:p>
    <w:p>
      <w:hyperlink r:id="rId64">
        <w:r>
          <w:rPr>
            <w:color w:val="176EA4"/>
          </w:rPr>
          <w:t>Shen &amp; Springer (1977), moisture/temperature strength tests </w:t>
        </w:r>
      </w:hyperlink>
      <w:r>
        <w:t xml:space="preserve"> </w:t>
      </w:r>
    </w:p>
    <w:p>
      <w:pPr>
        <w:pStyle w:val="Caption"/>
      </w:pPr>
      <w:r>
        <w:rPr>
          <w:b/>
          <w:i w:val="0"/>
        </w:rPr>
        <w:t>A02</w:t>
      </w:r>
      <w:r>
        <w:rPr>
          <w:b w:val="0"/>
          <w:i w:val="0"/>
        </w:rPr>
        <w:t xml:space="preserve"> </w:t>
      </w:r>
      <w:r>
        <w:rPr>
          <w:b w:val="0"/>
          <w:i w:val="0"/>
        </w:rPr>
        <w:t xml:space="preserve"> </w:t>
      </w:r>
      <w:r>
        <w:rPr>
          <w:b w:val="0"/>
          <w:i w:val="0"/>
        </w:rPr>
        <w:t>T300/Fiberite 1034 moisture uptake</w:t>
      </w:r>
      <w:r>
        <w:t xml:space="preserve"> </w:t>
      </w:r>
      <w:r>
        <w:rPr>
          <w:b w:val="0"/>
          <w:i w:val="0"/>
        </w:rPr>
        <w:t>Illustrated example · not a live run</w:t>
      </w:r>
      <w:r>
        <w:t xml:space="preserve"> </w:t>
      </w:r>
    </w:p>
    <w:p>
      <w:r>
        <w:t>Laminate</w:t>
      </w:r>
    </w:p>
    <w:p>
      <w:r>
        <w:t>Geometry / cycle</w:t>
      </w:r>
    </w:p>
    <w:p>
      <w:r>
        <w:t>CASES</w:t>
      </w:r>
    </w:p>
    <w:p>
      <w:r>
        <w:t>Response</w:t>
      </w:r>
    </w:p>
    <w:p>
      <w:pPr>
        <w:pStyle w:val="Heading3"/>
      </w:pPr>
      <w:r>
        <w:t>1 Inputs</w:t>
      </w:r>
    </w:p>
    <w:p>
      <w:pPr>
        <w:keepNext/>
      </w:pPr>
      <w:r>
        <w:rPr>
          <w:b w:val="0"/>
          <w:i w:val="0"/>
        </w:rPr>
        <w:t>01</w:t>
      </w:r>
    </w:p>
    <w:p>
      <w:pPr/>
      <w:r>
        <w:rPr>
          <w:b w:val="0"/>
          <w:i w:val="0"/>
        </w:rPr>
        <w:t>T300/Fiberite 1034</w:t>
      </w:r>
    </w:p>
    <w:p>
      <w:pPr>
        <w:keepNext/>
      </w:pPr>
      <w:r>
        <w:rPr>
          <w:b w:val="0"/>
          <w:i w:val="0"/>
        </w:rPr>
        <w:t>02</w:t>
      </w:r>
    </w:p>
    <w:p>
      <w:pPr/>
      <w:r>
        <w:rPr>
          <w:b w:val="0"/>
          <w:i w:val="0"/>
        </w:rPr>
        <w:t>300–425 K</w:t>
      </w:r>
    </w:p>
    <w:p>
      <w:pPr>
        <w:keepNext/>
      </w:pPr>
      <w:r>
        <w:rPr>
          <w:b w:val="0"/>
          <w:i w:val="0"/>
        </w:rPr>
        <w:t>03</w:t>
      </w:r>
    </w:p>
    <w:p>
      <w:pPr/>
      <w:r>
        <w:rPr>
          <w:b w:val="0"/>
          <w:i w:val="0"/>
        </w:rPr>
        <w:t>256 h exposure</w:t>
      </w:r>
    </w:p>
    <w:p>
      <w:pPr>
        <w:keepNext/>
      </w:pPr>
      <w:r>
        <w:rPr>
          <w:b w:val="0"/>
          <w:i w:val="0"/>
        </w:rPr>
        <w:t>04</w:t>
      </w:r>
    </w:p>
    <w:p>
      <w:pPr/>
      <w:r>
        <w:rPr>
          <w:b w:val="0"/>
          <w:i w:val="0"/>
        </w:rPr>
        <w:t>M∞ 1.5%</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10" name="Picture 10" descr="CDS workflow or model illustration"/>
            <wp:cNvGraphicFramePr>
              <a:graphicFrameLocks noChangeAspect="1"/>
            </wp:cNvGraphicFramePr>
            <a:graphic>
              <a:graphicData uri="http://schemas.openxmlformats.org/drawingml/2006/picture">
                <pic:pic>
                  <pic:nvPicPr>
                    <pic:cNvPr id="0" name="rsvg-952caa685e74bf860486820f1622f78f77c9b12862c15146fe1f2073c8a0cfb2.png"/>
                    <pic:cNvPicPr/>
                  </pic:nvPicPr>
                  <pic:blipFill>
                    <a:blip r:embed="rId65"/>
                    <a:stretch>
                      <a:fillRect/>
                    </a:stretch>
                  </pic:blipFill>
                  <pic:spPr>
                    <a:xfrm>
                      <a:off x="0" y="0"/>
                      <a:ext cx="6217920" cy="2914650"/>
                    </a:xfrm>
                    <a:prstGeom prst="rect"/>
                  </pic:spPr>
                </pic:pic>
              </a:graphicData>
            </a:graphic>
          </wp:inline>
        </w:drawing>
      </w:r>
    </w:p>
    <w:p>
      <w:pPr>
        <w:keepNext/>
      </w:pPr>
      <w:r>
        <w:t>What the result shows</w:t>
      </w:r>
    </w:p>
    <w:p>
      <w:pPr/>
      <w:r>
        <w:rPr>
          <w:b w:val="0"/>
          <w:i w:val="0"/>
        </w:rPr>
        <w:t>Higher-temperature scenarios approach saturation sooner while retaining the same equilibrium limit.</w:t>
      </w:r>
    </w:p>
    <w:p>
      <w:r>
        <w:rPr>
          <w:b/>
          <w:i w:val="0"/>
        </w:rPr>
        <w:t>Result basis</w:t>
      </w:r>
      <w:r>
        <w:t xml:space="preserve"> </w:t>
      </w:r>
      <w:r>
        <w:rPr>
          <w:b w:val="0"/>
          <w:i w:val="0"/>
        </w:rPr>
        <w:t>Published range · CDS Fickian curves</w:t>
      </w:r>
      <w:r>
        <w:rPr>
          <w:b w:val="0"/>
          <w:i w:val="0"/>
        </w:rPr>
        <w:t xml:space="preserve"> </w:t>
      </w:r>
      <w:r>
        <w:rPr>
          <w:b w:val="0"/>
          <w:i w:val="0"/>
        </w:rPr>
        <w:t>. Values and trends reproduce this page’s example; this is not a fresh solver result or an additional validation claim.</w:t>
      </w:r>
    </w:p>
    <w:p>
      <w:r>
        <w:rPr>
          <w:b w:val="0"/>
          <w:i w:val="0"/>
        </w:rPr>
        <w:t>A03</w:t>
      </w:r>
      <w:r>
        <w:t xml:space="preserve"> </w:t>
      </w:r>
      <w:r>
        <w:rPr>
          <w:b w:val="0"/>
          <w:i w:val="0"/>
        </w:rPr>
        <w:t>Published allowables · CDS CLT/Tsai–Wu</w:t>
      </w:r>
      <w:r>
        <w:t xml:space="preserve"> </w:t>
      </w:r>
    </w:p>
    <w:p>
      <w:pPr>
        <w:pStyle w:val="Heading3"/>
      </w:pPr>
      <w:r>
        <w:t>First-ply failure screen</w:t>
      </w:r>
    </w:p>
    <w:p>
      <w:pPr/>
      <w:r>
        <w:rPr>
          <w:b w:val="0"/>
          <w:i w:val="0"/>
        </w:rPr>
        <w:t>Recover local ply stresses from CLT and apply Tsai–Wu to the quasi-isotropic T300/5208 plate under increasing axial membrane load.</w:t>
      </w:r>
    </w:p>
    <w:p>
      <w:pPr>
        <w:keepNext/>
      </w:pPr>
      <w:r>
        <w:rPr>
          <w:b/>
          <w:i w:val="0"/>
        </w:rPr>
        <w:t>Sources and theory (</w:t>
      </w:r>
      <w:r>
        <w:rPr>
          <w:b/>
          <w:i w:val="0"/>
        </w:rPr>
        <w:t xml:space="preserve"> </w:t>
      </w:r>
      <w:r>
        <w:rPr>
          <w:b/>
          <w:i w:val="0"/>
        </w:rPr>
        <w:t>2</w:t>
      </w:r>
      <w:r>
        <w:rPr>
          <w:b/>
          <w:i w:val="0"/>
        </w:rPr>
        <w:t xml:space="preserve"> </w:t>
      </w:r>
      <w:r>
        <w:rPr>
          <w:b/>
          <w:i w:val="0"/>
        </w:rPr>
        <w:t>)</w:t>
      </w:r>
    </w:p>
    <w:p>
      <w:hyperlink r:id="rId66">
        <w:r>
          <w:rPr>
            <w:color w:val="176EA4"/>
          </w:rPr>
          <w:t>Tsai &amp; Wu (1971), anisotropic strength theory </w:t>
        </w:r>
      </w:hyperlink>
      <w:r>
        <w:t xml:space="preserve"> </w:t>
      </w:r>
    </w:p>
    <w:p>
      <w:hyperlink r:id="rId67">
        <w:r>
          <w:rPr>
            <w:color w:val="176EA4"/>
          </w:rPr>
          <w:t>Hu et al. (2015), T300/5208 input data </w:t>
        </w:r>
      </w:hyperlink>
      <w:r>
        <w:t xml:space="preserve"> </w:t>
      </w:r>
    </w:p>
    <w:p>
      <w:pPr>
        <w:pStyle w:val="Caption"/>
      </w:pPr>
      <w:r>
        <w:rPr>
          <w:b/>
          <w:i w:val="0"/>
        </w:rPr>
        <w:t>A03</w:t>
      </w:r>
      <w:r>
        <w:rPr>
          <w:b w:val="0"/>
          <w:i w:val="0"/>
        </w:rPr>
        <w:t xml:space="preserve"> </w:t>
      </w:r>
      <w:r>
        <w:rPr>
          <w:b w:val="0"/>
          <w:i w:val="0"/>
        </w:rPr>
        <w:t xml:space="preserve"> </w:t>
      </w:r>
      <w:r>
        <w:rPr>
          <w:b w:val="0"/>
          <w:i w:val="0"/>
        </w:rPr>
        <w:t>First-ply failure screen</w:t>
      </w:r>
      <w:r>
        <w:t xml:space="preserve"> </w:t>
      </w:r>
      <w:r>
        <w:rPr>
          <w:b w:val="0"/>
          <w:i w:val="0"/>
        </w:rPr>
        <w:t>Illustrated example · not a live run</w:t>
      </w:r>
      <w:r>
        <w:t xml:space="preserve"> </w:t>
      </w:r>
    </w:p>
    <w:p>
      <w:r>
        <w:t>Laminate</w:t>
      </w:r>
    </w:p>
    <w:p>
      <w:r>
        <w:t>Geometry / cycle</w:t>
      </w:r>
    </w:p>
    <w:p>
      <w:r>
        <w:t>CASES</w:t>
      </w:r>
    </w:p>
    <w:p>
      <w:r>
        <w:t>Response</w:t>
      </w:r>
    </w:p>
    <w:p>
      <w:pPr>
        <w:pStyle w:val="Heading3"/>
      </w:pPr>
      <w:r>
        <w:t>1 Inputs</w:t>
      </w:r>
    </w:p>
    <w:p>
      <w:pPr>
        <w:keepNext/>
      </w:pPr>
      <w:r>
        <w:rPr>
          <w:b w:val="0"/>
          <w:i w:val="0"/>
        </w:rPr>
        <w:t>01</w:t>
      </w:r>
    </w:p>
    <w:p>
      <w:pPr/>
      <w:r>
        <w:rPr>
          <w:b w:val="0"/>
          <w:i w:val="0"/>
        </w:rPr>
        <w:t>[0/45/−45/90]s</w:t>
      </w:r>
    </w:p>
    <w:p>
      <w:pPr>
        <w:keepNext/>
      </w:pPr>
      <w:r>
        <w:rPr>
          <w:b w:val="0"/>
          <w:i w:val="0"/>
        </w:rPr>
        <w:t>02</w:t>
      </w:r>
    </w:p>
    <w:p>
      <w:pPr/>
      <w:r>
        <w:rPr>
          <w:b w:val="0"/>
          <w:i w:val="0"/>
        </w:rPr>
        <w:t>Nx 300 N/mm</w:t>
      </w:r>
    </w:p>
    <w:p>
      <w:pPr>
        <w:keepNext/>
      </w:pPr>
      <w:r>
        <w:rPr>
          <w:b w:val="0"/>
          <w:i w:val="0"/>
        </w:rPr>
        <w:t>03</w:t>
      </w:r>
    </w:p>
    <w:p>
      <w:pPr/>
      <w:r>
        <w:rPr>
          <w:b w:val="0"/>
          <w:i w:val="0"/>
        </w:rPr>
        <w:t>1.0 mm total thickness</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11" name="Picture 11" descr="CDS workflow or model illustration"/>
            <wp:cNvGraphicFramePr>
              <a:graphicFrameLocks noChangeAspect="1"/>
            </wp:cNvGraphicFramePr>
            <a:graphic>
              <a:graphicData uri="http://schemas.openxmlformats.org/drawingml/2006/picture">
                <pic:pic>
                  <pic:nvPicPr>
                    <pic:cNvPr id="0" name="rsvg-c7355ece04c5818563dff1e4c0357b81a885746feb6c8bc5ec70376c36932eb0.png"/>
                    <pic:cNvPicPr/>
                  </pic:nvPicPr>
                  <pic:blipFill>
                    <a:blip r:embed="rId58"/>
                    <a:stretch>
                      <a:fillRect/>
                    </a:stretch>
                  </pic:blipFill>
                  <pic:spPr>
                    <a:xfrm>
                      <a:off x="0" y="0"/>
                      <a:ext cx="6217920" cy="2914650"/>
                    </a:xfrm>
                    <a:prstGeom prst="rect"/>
                  </pic:spPr>
                </pic:pic>
              </a:graphicData>
            </a:graphic>
          </wp:inline>
        </w:drawing>
      </w:r>
    </w:p>
    <w:p>
      <w:r>
        <w:t>Failure threshold exceeded</w:t>
      </w:r>
    </w:p>
    <w:p>
      <w:pPr/>
      <w:r>
        <w:rPr>
          <w:b w:val="0"/>
          <w:i w:val="0"/>
        </w:rPr>
        <w:t>The 90° plies reach FI 1.106 first; the example load is above predicted first-ply failure.</w:t>
      </w:r>
    </w:p>
    <w:p>
      <w:r>
        <w:rPr>
          <w:b/>
          <w:i w:val="0"/>
        </w:rPr>
        <w:t>Result basis</w:t>
      </w:r>
      <w:r>
        <w:t xml:space="preserve"> </w:t>
      </w:r>
      <w:r>
        <w:rPr>
          <w:b w:val="0"/>
          <w:i w:val="0"/>
        </w:rPr>
        <w:t>Published allowables · CDS CLT/Tsai–Wu</w:t>
      </w:r>
      <w:r>
        <w:rPr>
          <w:b w:val="0"/>
          <w:i w:val="0"/>
        </w:rPr>
        <w:t xml:space="preserve"> </w:t>
      </w:r>
      <w:r>
        <w:rPr>
          <w:b w:val="0"/>
          <w:i w:val="0"/>
        </w:rPr>
        <w:t>. Values and trends reproduce this page’s example; this is not a fresh solver result or an additional validation claim.</w:t>
      </w:r>
    </w:p>
    <w:p>
      <w:r>
        <w:rPr>
          <w:b w:val="0"/>
          <w:i w:val="0"/>
        </w:rPr>
        <w:t>A04</w:t>
      </w:r>
      <w:r>
        <w:t xml:space="preserve"> </w:t>
      </w:r>
      <w:r>
        <w:rPr>
          <w:b w:val="0"/>
          <w:i w:val="0"/>
        </w:rPr>
        <w:t>Published lamina · CDS Revision 8 plate model</w:t>
      </w:r>
      <w:r>
        <w:t xml:space="preserve"> </w:t>
      </w:r>
    </w:p>
    <w:p>
      <w:pPr>
        <w:pStyle w:val="Heading3"/>
      </w:pPr>
      <w:r>
        <w:t>Plate boundary-condition sweep</w:t>
      </w:r>
    </w:p>
    <w:p>
      <w:pPr/>
      <w:r>
        <w:rPr>
          <w:b w:val="0"/>
          <w:i w:val="0"/>
        </w:rPr>
        <w:t>Apply the same T300/5208 quasi-isotropic panel and load while changing the four edge IDs from simply supported to mixed and fully fixed support.</w:t>
      </w:r>
    </w:p>
    <w:p>
      <w:pPr>
        <w:keepNext/>
      </w:pPr>
      <w:r>
        <w:rPr>
          <w:b/>
          <w:i w:val="0"/>
        </w:rPr>
        <w:t>Sources and theory (</w:t>
      </w:r>
      <w:r>
        <w:rPr>
          <w:b/>
          <w:i w:val="0"/>
        </w:rPr>
        <w:t xml:space="preserve"> </w:t>
      </w:r>
      <w:r>
        <w:rPr>
          <w:b/>
          <w:i w:val="0"/>
        </w:rPr>
        <w:t>1</w:t>
      </w:r>
      <w:r>
        <w:rPr>
          <w:b/>
          <w:i w:val="0"/>
        </w:rPr>
        <w:t xml:space="preserve"> </w:t>
      </w:r>
      <w:r>
        <w:rPr>
          <w:b/>
          <w:i w:val="0"/>
        </w:rPr>
        <w:t>)</w:t>
      </w:r>
    </w:p>
    <w:p>
      <w:hyperlink r:id="rId68">
        <w:r>
          <w:rPr>
            <w:color w:val="176EA4"/>
          </w:rPr>
          <w:t>Nettles (1994), NASA RP-1351 </w:t>
        </w:r>
      </w:hyperlink>
      <w:r>
        <w:t xml:space="preserve"> </w:t>
      </w:r>
    </w:p>
    <w:p>
      <w:pPr>
        <w:pStyle w:val="Caption"/>
      </w:pPr>
      <w:r>
        <w:rPr>
          <w:b/>
          <w:i w:val="0"/>
        </w:rPr>
        <w:t>A04</w:t>
      </w:r>
      <w:r>
        <w:rPr>
          <w:b w:val="0"/>
          <w:i w:val="0"/>
        </w:rPr>
        <w:t xml:space="preserve"> </w:t>
      </w:r>
      <w:r>
        <w:rPr>
          <w:b w:val="0"/>
          <w:i w:val="0"/>
        </w:rPr>
        <w:t xml:space="preserve"> </w:t>
      </w:r>
      <w:r>
        <w:rPr>
          <w:b w:val="0"/>
          <w:i w:val="0"/>
        </w:rPr>
        <w:t>Plate boundary-condition sweep</w:t>
      </w:r>
      <w:r>
        <w:t xml:space="preserve"> </w:t>
      </w:r>
      <w:r>
        <w:rPr>
          <w:b w:val="0"/>
          <w:i w:val="0"/>
        </w:rPr>
        <w:t>Illustrated example · not a live run</w:t>
      </w:r>
      <w:r>
        <w:t xml:space="preserve"> </w:t>
      </w:r>
    </w:p>
    <w:p>
      <w:r>
        <w:t>Laminate</w:t>
      </w:r>
    </w:p>
    <w:p>
      <w:r>
        <w:t>Geometry / cycle</w:t>
      </w:r>
    </w:p>
    <w:p>
      <w:r>
        <w:t>CASES</w:t>
      </w:r>
    </w:p>
    <w:p>
      <w:r>
        <w:t>Response</w:t>
      </w:r>
    </w:p>
    <w:p>
      <w:pPr>
        <w:pStyle w:val="Heading3"/>
      </w:pPr>
      <w:r>
        <w:t>1 Inputs</w:t>
      </w:r>
    </w:p>
    <w:p>
      <w:pPr>
        <w:keepNext/>
      </w:pPr>
      <w:r>
        <w:rPr>
          <w:b w:val="0"/>
          <w:i w:val="0"/>
        </w:rPr>
        <w:t>01</w:t>
      </w:r>
    </w:p>
    <w:p>
      <w:pPr/>
      <w:r>
        <w:rPr>
          <w:b w:val="0"/>
          <w:i w:val="0"/>
        </w:rPr>
        <w:t>0.60 × 0.40 m</w:t>
      </w:r>
    </w:p>
    <w:p>
      <w:pPr>
        <w:keepNext/>
      </w:pPr>
      <w:r>
        <w:rPr>
          <w:b w:val="0"/>
          <w:i w:val="0"/>
        </w:rPr>
        <w:t>02</w:t>
      </w:r>
    </w:p>
    <w:p>
      <w:pPr/>
      <w:r>
        <w:rPr>
          <w:b w:val="0"/>
          <w:i w:val="0"/>
        </w:rPr>
        <w:t>[0/45/−45/90]s</w:t>
      </w:r>
    </w:p>
    <w:p>
      <w:pPr>
        <w:keepNext/>
      </w:pPr>
      <w:r>
        <w:rPr>
          <w:b w:val="0"/>
          <w:i w:val="0"/>
        </w:rPr>
        <w:t>03</w:t>
      </w:r>
    </w:p>
    <w:p>
      <w:pPr/>
      <w:r>
        <w:rPr>
          <w:b w:val="0"/>
          <w:i w:val="0"/>
        </w:rPr>
        <w:t>2.5 kPa</w:t>
      </w:r>
    </w:p>
    <w:p>
      <w:pPr>
        <w:keepNext/>
      </w:pPr>
      <w:r>
        <w:rPr>
          <w:b w:val="0"/>
          <w:i w:val="0"/>
        </w:rPr>
        <w:t>04</w:t>
      </w:r>
    </w:p>
    <w:p>
      <w:pPr/>
      <w:r>
        <w:rPr>
          <w:b w:val="0"/>
          <w:i w:val="0"/>
        </w:rPr>
        <w:t>edge IDs SSSS, CSCS, CCCC</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12" name="Picture 12" descr="CDS workflow or model illustration"/>
            <wp:cNvGraphicFramePr>
              <a:graphicFrameLocks noChangeAspect="1"/>
            </wp:cNvGraphicFramePr>
            <a:graphic>
              <a:graphicData uri="http://schemas.openxmlformats.org/drawingml/2006/picture">
                <pic:pic>
                  <pic:nvPicPr>
                    <pic:cNvPr id="0" name="rsvg-e1beaeb7c59786b56de08994460580312b0794d524a6cb22ca6b38aebb60abd1.png"/>
                    <pic:cNvPicPr/>
                  </pic:nvPicPr>
                  <pic:blipFill>
                    <a:blip r:embed="rId69"/>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Revision 8 Rayleigh screen shows increasing modal stiffness and first frequency as rotational restraint increases.</w:t>
      </w:r>
    </w:p>
    <w:p>
      <w:r>
        <w:rPr>
          <w:b/>
          <w:i w:val="0"/>
        </w:rPr>
        <w:t>Result basis</w:t>
      </w:r>
      <w:r>
        <w:t xml:space="preserve"> </w:t>
      </w:r>
      <w:r>
        <w:rPr>
          <w:b w:val="0"/>
          <w:i w:val="0"/>
        </w:rPr>
        <w:t>Published lamina · CDS Revision 8 plate model</w:t>
      </w:r>
      <w:r>
        <w:rPr>
          <w:b w:val="0"/>
          <w:i w:val="0"/>
        </w:rPr>
        <w:t xml:space="preserve"> </w:t>
      </w:r>
      <w:r>
        <w:rPr>
          <w:b w:val="0"/>
          <w:i w:val="0"/>
        </w:rPr>
        <w:t>. Values and trends reproduce this page’s example; this is not a fresh solver result or an additional validation claim.</w:t>
      </w:r>
    </w:p>
    <w:p>
      <w:r>
        <w:rPr>
          <w:b w:val="0"/>
          <w:i w:val="0"/>
        </w:rPr>
        <w:t>A05</w:t>
      </w:r>
      <w:r>
        <w:t xml:space="preserve"> </w:t>
      </w:r>
      <w:r>
        <w:rPr>
          <w:b w:val="0"/>
          <w:i w:val="0"/>
        </w:rPr>
        <w:t>Published CLT basis · CDS Revision 8 buckling screen</w:t>
      </w:r>
      <w:r>
        <w:t xml:space="preserve"> </w:t>
      </w:r>
    </w:p>
    <w:p>
      <w:pPr>
        <w:pStyle w:val="Heading3"/>
      </w:pPr>
      <w:r>
        <w:t>Orthotropic plate buckling surface</w:t>
      </w:r>
    </w:p>
    <w:p>
      <w:pPr/>
      <w:r>
        <w:rPr>
          <w:b w:val="0"/>
          <w:i w:val="0"/>
        </w:rPr>
        <w:t>Map the critical membrane action as panel aspect ratio and axial/transverse compression direction change.</w:t>
      </w:r>
    </w:p>
    <w:p>
      <w:pPr>
        <w:keepNext/>
      </w:pPr>
      <w:r>
        <w:rPr>
          <w:b/>
          <w:i w:val="0"/>
        </w:rPr>
        <w:t>Sources and theory (</w:t>
      </w:r>
      <w:r>
        <w:rPr>
          <w:b/>
          <w:i w:val="0"/>
        </w:rPr>
        <w:t xml:space="preserve"> </w:t>
      </w:r>
      <w:r>
        <w:rPr>
          <w:b/>
          <w:i w:val="0"/>
        </w:rPr>
        <w:t>1</w:t>
      </w:r>
      <w:r>
        <w:rPr>
          <w:b/>
          <w:i w:val="0"/>
        </w:rPr>
        <w:t xml:space="preserve"> </w:t>
      </w:r>
      <w:r>
        <w:rPr>
          <w:b/>
          <w:i w:val="0"/>
        </w:rPr>
        <w:t>)</w:t>
      </w:r>
    </w:p>
    <w:p>
      <w:hyperlink r:id="rId68">
        <w:r>
          <w:rPr>
            <w:color w:val="176EA4"/>
          </w:rPr>
          <w:t>Nettles (1994), NASA RP-1351 </w:t>
        </w:r>
      </w:hyperlink>
      <w:r>
        <w:t xml:space="preserve"> </w:t>
      </w:r>
    </w:p>
    <w:p>
      <w:pPr>
        <w:pStyle w:val="Caption"/>
      </w:pPr>
      <w:r>
        <w:rPr>
          <w:b/>
          <w:i w:val="0"/>
        </w:rPr>
        <w:t>A05</w:t>
      </w:r>
      <w:r>
        <w:rPr>
          <w:b w:val="0"/>
          <w:i w:val="0"/>
        </w:rPr>
        <w:t xml:space="preserve"> </w:t>
      </w:r>
      <w:r>
        <w:rPr>
          <w:b w:val="0"/>
          <w:i w:val="0"/>
        </w:rPr>
        <w:t xml:space="preserve"> </w:t>
      </w:r>
      <w:r>
        <w:rPr>
          <w:b w:val="0"/>
          <w:i w:val="0"/>
        </w:rPr>
        <w:t>Orthotropic plate buckling surface</w:t>
      </w:r>
      <w:r>
        <w:t xml:space="preserve"> </w:t>
      </w:r>
      <w:r>
        <w:rPr>
          <w:b w:val="0"/>
          <w:i w:val="0"/>
        </w:rPr>
        <w:t>Illustrated example · not a live run</w:t>
      </w:r>
      <w:r>
        <w:t xml:space="preserve"> </w:t>
      </w:r>
    </w:p>
    <w:p>
      <w:r>
        <w:t>Laminate</w:t>
      </w:r>
    </w:p>
    <w:p>
      <w:r>
        <w:t>Geometry / cycle</w:t>
      </w:r>
    </w:p>
    <w:p>
      <w:r>
        <w:t>CASES</w:t>
      </w:r>
    </w:p>
    <w:p>
      <w:r>
        <w:t>Response</w:t>
      </w:r>
    </w:p>
    <w:p>
      <w:pPr>
        <w:pStyle w:val="Heading3"/>
      </w:pPr>
      <w:r>
        <w:t>1 Inputs</w:t>
      </w:r>
    </w:p>
    <w:p>
      <w:pPr>
        <w:keepNext/>
      </w:pPr>
      <w:r>
        <w:rPr>
          <w:b w:val="0"/>
          <w:i w:val="0"/>
        </w:rPr>
        <w:t>01</w:t>
      </w:r>
    </w:p>
    <w:p>
      <w:pPr/>
      <w:r>
        <w:rPr>
          <w:b w:val="0"/>
          <w:i w:val="0"/>
        </w:rPr>
        <w:t>T300/5208 QI-8</w:t>
      </w:r>
    </w:p>
    <w:p>
      <w:pPr>
        <w:keepNext/>
      </w:pPr>
      <w:r>
        <w:rPr>
          <w:b w:val="0"/>
          <w:i w:val="0"/>
        </w:rPr>
        <w:t>02</w:t>
      </w:r>
    </w:p>
    <w:p>
      <w:pPr/>
      <w:r>
        <w:rPr>
          <w:b w:val="0"/>
          <w:i w:val="0"/>
        </w:rPr>
        <w:t>a/b 0.5–2.0</w:t>
      </w:r>
    </w:p>
    <w:p>
      <w:pPr>
        <w:keepNext/>
      </w:pPr>
      <w:r>
        <w:rPr>
          <w:b w:val="0"/>
          <w:i w:val="0"/>
        </w:rPr>
        <w:t>03</w:t>
      </w:r>
    </w:p>
    <w:p>
      <w:pPr/>
      <w:r>
        <w:rPr>
          <w:b w:val="0"/>
          <w:i w:val="0"/>
        </w:rPr>
        <w:t>simply supported edges</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13" name="Picture 13" descr="CDS workflow or model illustration"/>
            <wp:cNvGraphicFramePr>
              <a:graphicFrameLocks noChangeAspect="1"/>
            </wp:cNvGraphicFramePr>
            <a:graphic>
              <a:graphicData uri="http://schemas.openxmlformats.org/drawingml/2006/picture">
                <pic:pic>
                  <pic:nvPicPr>
                    <pic:cNvPr id="0" name="rsvg-48e55778bd16f1500c4555bd34c9f384156e4c9057d3ec71ae44d511afc107b0.png"/>
                    <pic:cNvPicPr/>
                  </pic:nvPicPr>
                  <pic:blipFill>
                    <a:blip r:embed="rId70"/>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contour exposes the aspect-ratio region where the governing buckling direction switches between Nx and Ny.</w:t>
      </w:r>
    </w:p>
    <w:p>
      <w:r>
        <w:rPr>
          <w:b/>
          <w:i w:val="0"/>
        </w:rPr>
        <w:t>Result basis</w:t>
      </w:r>
      <w:r>
        <w:t xml:space="preserve"> </w:t>
      </w:r>
      <w:r>
        <w:rPr>
          <w:b w:val="0"/>
          <w:i w:val="0"/>
        </w:rPr>
        <w:t>Published CLT basis · CDS Revision 8 buckling screen</w:t>
      </w:r>
      <w:r>
        <w:rPr>
          <w:b w:val="0"/>
          <w:i w:val="0"/>
        </w:rPr>
        <w:t xml:space="preserve"> </w:t>
      </w:r>
      <w:r>
        <w:rPr>
          <w:b w:val="0"/>
          <w:i w:val="0"/>
        </w:rPr>
        <w:t>. Values and trends reproduce this page’s example; this is not a fresh solver result or an additional validation claim.</w:t>
      </w:r>
    </w:p>
    <w:p>
      <w:r>
        <w:rPr>
          <w:b w:val="0"/>
          <w:i w:val="0"/>
        </w:rPr>
        <w:t>A06</w:t>
      </w:r>
      <w:r>
        <w:t xml:space="preserve"> </w:t>
      </w:r>
      <w:r>
        <w:rPr>
          <w:b w:val="0"/>
          <w:i w:val="0"/>
        </w:rPr>
        <w:t>CDS Revision 8 constant-section cylinder</w:t>
      </w:r>
      <w:r>
        <w:t xml:space="preserve"> </w:t>
      </w:r>
    </w:p>
    <w:p>
      <w:pPr>
        <w:pStyle w:val="Heading3"/>
      </w:pPr>
      <w:r>
        <w:t>Closed-end pressure-cylinder resultants</w:t>
      </w:r>
    </w:p>
    <w:p>
      <w:pPr/>
      <w:r>
        <w:rPr>
          <w:b w:val="0"/>
          <w:i w:val="0"/>
        </w:rPr>
        <w:t>Convert internal pressure, axial force, and torque into the common axial–hoop–shear laminate resultant basis.</w:t>
      </w:r>
    </w:p>
    <w:p>
      <w:pPr>
        <w:keepNext/>
      </w:pPr>
      <w:r>
        <w:rPr>
          <w:b/>
          <w:i w:val="0"/>
        </w:rPr>
        <w:t>Sources and theory (</w:t>
      </w:r>
      <w:r>
        <w:rPr>
          <w:b/>
          <w:i w:val="0"/>
        </w:rPr>
        <w:t xml:space="preserve"> </w:t>
      </w:r>
      <w:r>
        <w:rPr>
          <w:b/>
          <w:i w:val="0"/>
        </w:rPr>
        <w:t>1</w:t>
      </w:r>
      <w:r>
        <w:rPr>
          <w:b/>
          <w:i w:val="0"/>
        </w:rPr>
        <w:t xml:space="preserve"> </w:t>
      </w:r>
      <w:r>
        <w:rPr>
          <w:b/>
          <w:i w:val="0"/>
        </w:rPr>
        <w:t>)</w:t>
      </w:r>
    </w:p>
    <w:p>
      <w:hyperlink r:id="rId71">
        <w:r>
          <w:rPr>
            <w:color w:val="176EA4"/>
          </w:rPr>
          <w:t>CDS online structural theory structural geometry module </w:t>
        </w:r>
      </w:hyperlink>
      <w:r>
        <w:t xml:space="preserve"> </w:t>
      </w:r>
    </w:p>
    <w:p>
      <w:pPr>
        <w:pStyle w:val="Caption"/>
      </w:pPr>
      <w:r>
        <w:rPr>
          <w:b/>
          <w:i w:val="0"/>
        </w:rPr>
        <w:t>A06</w:t>
      </w:r>
      <w:r>
        <w:rPr>
          <w:b w:val="0"/>
          <w:i w:val="0"/>
        </w:rPr>
        <w:t xml:space="preserve"> </w:t>
      </w:r>
      <w:r>
        <w:rPr>
          <w:b w:val="0"/>
          <w:i w:val="0"/>
        </w:rPr>
        <w:t xml:space="preserve"> </w:t>
      </w:r>
      <w:r>
        <w:rPr>
          <w:b w:val="0"/>
          <w:i w:val="0"/>
        </w:rPr>
        <w:t>Closed-end pressure-cylinder resultants</w:t>
      </w:r>
      <w:r>
        <w:t xml:space="preserve"> </w:t>
      </w:r>
      <w:r>
        <w:rPr>
          <w:b w:val="0"/>
          <w:i w:val="0"/>
        </w:rPr>
        <w:t>Illustrated example · not a live run</w:t>
      </w:r>
      <w:r>
        <w:t xml:space="preserve"> </w:t>
      </w:r>
    </w:p>
    <w:p>
      <w:r>
        <w:t>Laminate</w:t>
      </w:r>
    </w:p>
    <w:p>
      <w:r>
        <w:t>Geometry / cycle</w:t>
      </w:r>
    </w:p>
    <w:p>
      <w:r>
        <w:t>CASES</w:t>
      </w:r>
    </w:p>
    <w:p>
      <w:r>
        <w:t>Response</w:t>
      </w:r>
    </w:p>
    <w:p>
      <w:pPr>
        <w:pStyle w:val="Heading3"/>
      </w:pPr>
      <w:r>
        <w:t>1 Inputs</w:t>
      </w:r>
    </w:p>
    <w:p>
      <w:pPr>
        <w:keepNext/>
      </w:pPr>
      <w:r>
        <w:rPr>
          <w:b w:val="0"/>
          <w:i w:val="0"/>
        </w:rPr>
        <w:t>01</w:t>
      </w:r>
    </w:p>
    <w:p>
      <w:pPr/>
      <w:r>
        <w:rPr>
          <w:b w:val="0"/>
          <w:i w:val="0"/>
        </w:rPr>
        <w:t>ri 75 mm</w:t>
      </w:r>
    </w:p>
    <w:p>
      <w:pPr>
        <w:keepNext/>
      </w:pPr>
      <w:r>
        <w:rPr>
          <w:b w:val="0"/>
          <w:i w:val="0"/>
        </w:rPr>
        <w:t>02</w:t>
      </w:r>
    </w:p>
    <w:p>
      <w:pPr/>
      <w:r>
        <w:rPr>
          <w:b w:val="0"/>
          <w:i w:val="0"/>
        </w:rPr>
        <w:t>L 0.8 m</w:t>
      </w:r>
    </w:p>
    <w:p>
      <w:pPr>
        <w:keepNext/>
      </w:pPr>
      <w:r>
        <w:rPr>
          <w:b w:val="0"/>
          <w:i w:val="0"/>
        </w:rPr>
        <w:t>03</w:t>
      </w:r>
    </w:p>
    <w:p>
      <w:pPr/>
      <w:r>
        <w:rPr>
          <w:b w:val="0"/>
          <w:i w:val="0"/>
        </w:rPr>
        <w:t>Pi 2.5 MPa</w:t>
      </w:r>
    </w:p>
    <w:p>
      <w:pPr>
        <w:keepNext/>
      </w:pPr>
      <w:r>
        <w:rPr>
          <w:b w:val="0"/>
          <w:i w:val="0"/>
        </w:rPr>
        <w:t>04</w:t>
      </w:r>
    </w:p>
    <w:p>
      <w:pPr/>
      <w:r>
        <w:rPr>
          <w:b w:val="0"/>
          <w:i w:val="0"/>
        </w:rPr>
        <w:t>Po 0.1 MPa</w:t>
      </w:r>
    </w:p>
    <w:p>
      <w:pPr>
        <w:keepNext/>
      </w:pPr>
      <w:r>
        <w:rPr>
          <w:b w:val="0"/>
          <w:i w:val="0"/>
        </w:rPr>
        <w:t>05</w:t>
      </w:r>
    </w:p>
    <w:p>
      <w:pPr/>
      <w:r>
        <w:rPr>
          <w:b w:val="0"/>
          <w:i w:val="0"/>
        </w:rPr>
        <w:t>closed end</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14" name="Picture 14" descr="CDS workflow or model illustration"/>
            <wp:cNvGraphicFramePr>
              <a:graphicFrameLocks noChangeAspect="1"/>
            </wp:cNvGraphicFramePr>
            <a:graphic>
              <a:graphicData uri="http://schemas.openxmlformats.org/drawingml/2006/picture">
                <pic:pic>
                  <pic:nvPicPr>
                    <pic:cNvPr id="0" name="rsvg-4ee0a37b78acebe594d8eddf99dbf61ae04c3ecb6df609948e9941f8b2a0a34e.png"/>
                    <pic:cNvPicPr/>
                  </pic:nvPicPr>
                  <pic:blipFill>
                    <a:blip r:embed="rId72"/>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hoop resultant remains the dominant membrane action; axial pressure-end force and applied axial force are superimposed explicitly.</w:t>
      </w:r>
    </w:p>
    <w:p>
      <w:r>
        <w:rPr>
          <w:b/>
          <w:i w:val="0"/>
        </w:rPr>
        <w:t>Result basis</w:t>
      </w:r>
      <w:r>
        <w:t xml:space="preserve"> </w:t>
      </w:r>
      <w:r>
        <w:rPr>
          <w:b w:val="0"/>
          <w:i w:val="0"/>
        </w:rPr>
        <w:t>CDS Revision 8 constant-section cylinder</w:t>
      </w:r>
      <w:r>
        <w:rPr>
          <w:b w:val="0"/>
          <w:i w:val="0"/>
        </w:rPr>
        <w:t xml:space="preserve"> </w:t>
      </w:r>
      <w:r>
        <w:rPr>
          <w:b w:val="0"/>
          <w:i w:val="0"/>
        </w:rPr>
        <w:t>. Values and trends reproduce this page’s example; this is not a fresh solver result or an additional validation claim.</w:t>
      </w:r>
    </w:p>
    <w:p>
      <w:r>
        <w:rPr>
          <w:b w:val="0"/>
          <w:i w:val="0"/>
        </w:rPr>
        <w:t>A07</w:t>
      </w:r>
      <w:r>
        <w:t xml:space="preserve"> </w:t>
      </w:r>
      <w:r>
        <w:rPr>
          <w:b w:val="0"/>
          <w:i w:val="0"/>
        </w:rPr>
        <w:t>Published methodology · CDS Revision 8 implementation</w:t>
      </w:r>
      <w:r>
        <w:t xml:space="preserve"> </w:t>
      </w:r>
    </w:p>
    <w:p>
      <w:pPr>
        <w:pStyle w:val="Heading3"/>
      </w:pPr>
      <w:r>
        <w:t>Hyer thick-cylinder radial response</w:t>
      </w:r>
    </w:p>
    <w:p>
      <w:pPr/>
      <w:r>
        <w:rPr>
          <w:b w:val="0"/>
          <w:i w:val="0"/>
        </w:rPr>
        <w:t>Compare the shell path with the layer-by-layer generalized-plane-deformation solution for a thick cross-ply cylinder under hydrostatic pressure.</w:t>
      </w:r>
    </w:p>
    <w:p>
      <w:pPr>
        <w:keepNext/>
      </w:pPr>
      <w:r>
        <w:rPr>
          <w:b/>
          <w:i w:val="0"/>
        </w:rPr>
        <w:t>Sources and theory (</w:t>
      </w:r>
      <w:r>
        <w:rPr>
          <w:b/>
          <w:i w:val="0"/>
        </w:rPr>
        <w:t xml:space="preserve"> </w:t>
      </w:r>
      <w:r>
        <w:rPr>
          <w:b/>
          <w:i w:val="0"/>
        </w:rPr>
        <w:t>1</w:t>
      </w:r>
      <w:r>
        <w:rPr>
          <w:b/>
          <w:i w:val="0"/>
        </w:rPr>
        <w:t xml:space="preserve"> </w:t>
      </w:r>
      <w:r>
        <w:rPr>
          <w:b/>
          <w:i w:val="0"/>
        </w:rPr>
        <w:t>)</w:t>
      </w:r>
    </w:p>
    <w:p>
      <w:hyperlink r:id="rId73">
        <w:r>
          <w:rPr>
            <w:color w:val="176EA4"/>
          </w:rPr>
          <w:t>Hyer (1988), thick laminated cylinders </w:t>
        </w:r>
      </w:hyperlink>
      <w:r>
        <w:t xml:space="preserve"> </w:t>
      </w:r>
    </w:p>
    <w:p>
      <w:pPr>
        <w:pStyle w:val="Caption"/>
      </w:pPr>
      <w:r>
        <w:rPr>
          <w:b/>
          <w:i w:val="0"/>
        </w:rPr>
        <w:t>A07</w:t>
      </w:r>
      <w:r>
        <w:rPr>
          <w:b w:val="0"/>
          <w:i w:val="0"/>
        </w:rPr>
        <w:t xml:space="preserve"> </w:t>
      </w:r>
      <w:r>
        <w:rPr>
          <w:b w:val="0"/>
          <w:i w:val="0"/>
        </w:rPr>
        <w:t xml:space="preserve"> </w:t>
      </w:r>
      <w:r>
        <w:rPr>
          <w:b w:val="0"/>
          <w:i w:val="0"/>
        </w:rPr>
        <w:t>Hyer thick-cylinder radial response</w:t>
      </w:r>
      <w:r>
        <w:t xml:space="preserve"> </w:t>
      </w:r>
      <w:r>
        <w:rPr>
          <w:b w:val="0"/>
          <w:i w:val="0"/>
        </w:rPr>
        <w:t>Illustrated example · not a live run</w:t>
      </w:r>
      <w:r>
        <w:t xml:space="preserve"> </w:t>
      </w:r>
    </w:p>
    <w:p>
      <w:r>
        <w:t>Laminate</w:t>
      </w:r>
    </w:p>
    <w:p>
      <w:r>
        <w:t>Geometry / cycle</w:t>
      </w:r>
    </w:p>
    <w:p>
      <w:r>
        <w:t>CASES</w:t>
      </w:r>
    </w:p>
    <w:p>
      <w:r>
        <w:t>Response</w:t>
      </w:r>
    </w:p>
    <w:p>
      <w:pPr>
        <w:pStyle w:val="Heading3"/>
      </w:pPr>
      <w:r>
        <w:t>1 Inputs</w:t>
      </w:r>
    </w:p>
    <w:p>
      <w:pPr>
        <w:keepNext/>
      </w:pPr>
      <w:r>
        <w:rPr>
          <w:b w:val="0"/>
          <w:i w:val="0"/>
        </w:rPr>
        <w:t>01</w:t>
      </w:r>
    </w:p>
    <w:p>
      <w:pPr/>
      <w:r>
        <w:rPr>
          <w:b w:val="0"/>
          <w:i w:val="0"/>
        </w:rPr>
        <w:t>Cross-ply graphite/epoxy</w:t>
      </w:r>
    </w:p>
    <w:p>
      <w:pPr>
        <w:keepNext/>
      </w:pPr>
      <w:r>
        <w:rPr>
          <w:b w:val="0"/>
          <w:i w:val="0"/>
        </w:rPr>
        <w:t>02</w:t>
      </w:r>
    </w:p>
    <w:p>
      <w:pPr/>
      <w:r>
        <w:rPr>
          <w:b w:val="0"/>
          <w:i w:val="0"/>
        </w:rPr>
        <w:t>radius/wall ratios 5 and 10</w:t>
      </w:r>
    </w:p>
    <w:p>
      <w:pPr>
        <w:keepNext/>
      </w:pPr>
      <w:r>
        <w:rPr>
          <w:b w:val="0"/>
          <w:i w:val="0"/>
        </w:rPr>
        <w:t>03</w:t>
      </w:r>
    </w:p>
    <w:p>
      <w:pPr/>
      <w:r>
        <w:rPr>
          <w:b w:val="0"/>
          <w:i w:val="0"/>
        </w:rPr>
        <w:t>external pressure</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15" name="Picture 15" descr="CDS workflow or model illustration"/>
            <wp:cNvGraphicFramePr>
              <a:graphicFrameLocks noChangeAspect="1"/>
            </wp:cNvGraphicFramePr>
            <a:graphic>
              <a:graphicData uri="http://schemas.openxmlformats.org/drawingml/2006/picture">
                <pic:pic>
                  <pic:nvPicPr>
                    <pic:cNvPr id="0" name="rsvg-bcdc954f3084bdb4e156a39362bd032ba13d3aac65ab4ba912e1d87b1ca2e63f.png"/>
                    <pic:cNvPicPr/>
                  </pic:nvPicPr>
                  <pic:blipFill>
                    <a:blip r:embed="rId74"/>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Hyer path resolves through-wall radial displacement, traction continuity, and interlaminar stress instead of smearing the wall into one shell section.</w:t>
      </w:r>
    </w:p>
    <w:p>
      <w:r>
        <w:rPr>
          <w:b/>
          <w:i w:val="0"/>
        </w:rPr>
        <w:t>Result basis</w:t>
      </w:r>
      <w:r>
        <w:t xml:space="preserve"> </w:t>
      </w:r>
      <w:r>
        <w:rPr>
          <w:b w:val="0"/>
          <w:i w:val="0"/>
        </w:rPr>
        <w:t>Published methodology · CDS Revision 8 implementation</w:t>
      </w:r>
      <w:r>
        <w:rPr>
          <w:b w:val="0"/>
          <w:i w:val="0"/>
        </w:rPr>
        <w:t xml:space="preserve"> </w:t>
      </w:r>
      <w:r>
        <w:rPr>
          <w:b w:val="0"/>
          <w:i w:val="0"/>
        </w:rPr>
        <w:t>. Values and trends reproduce this page’s example; this is not a fresh solver result or an additional validation claim.</w:t>
      </w:r>
    </w:p>
    <w:p>
      <w:r>
        <w:rPr>
          <w:b w:val="0"/>
          <w:i w:val="0"/>
        </w:rPr>
        <w:t>A08</w:t>
      </w:r>
      <w:r>
        <w:t xml:space="preserve"> </w:t>
      </w:r>
      <w:r>
        <w:rPr>
          <w:b w:val="0"/>
          <w:i w:val="0"/>
        </w:rPr>
        <w:t>Published section mechanics · CDS Revision 8 member model</w:t>
      </w:r>
      <w:r>
        <w:t xml:space="preserve"> </w:t>
      </w:r>
    </w:p>
    <w:p>
      <w:pPr>
        <w:pStyle w:val="Heading3"/>
      </w:pPr>
      <w:r>
        <w:t>Composite beam section comparison</w:t>
      </w:r>
    </w:p>
    <w:p>
      <w:pPr/>
      <w:r>
        <w:rPr>
          <w:b w:val="0"/>
          <w:i w:val="0"/>
        </w:rPr>
        <w:t>Hold span, laminate, mass budget, and loading constant while routing the section geometry through rectangle, I, circular-tube, and rectangular-tube formulas.</w:t>
      </w:r>
    </w:p>
    <w:p>
      <w:pPr>
        <w:keepNext/>
      </w:pPr>
      <w:r>
        <w:rPr>
          <w:b/>
          <w:i w:val="0"/>
        </w:rPr>
        <w:t>Sources and theory (</w:t>
      </w:r>
      <w:r>
        <w:rPr>
          <w:b/>
          <w:i w:val="0"/>
        </w:rPr>
        <w:t xml:space="preserve"> </w:t>
      </w:r>
      <w:r>
        <w:rPr>
          <w:b/>
          <w:i w:val="0"/>
        </w:rPr>
        <w:t>1</w:t>
      </w:r>
      <w:r>
        <w:rPr>
          <w:b/>
          <w:i w:val="0"/>
        </w:rPr>
        <w:t xml:space="preserve"> </w:t>
      </w:r>
      <w:r>
        <w:rPr>
          <w:b/>
          <w:i w:val="0"/>
        </w:rPr>
        <w:t>)</w:t>
      </w:r>
    </w:p>
    <w:p>
      <w:hyperlink r:id="rId68">
        <w:r>
          <w:rPr>
            <w:color w:val="176EA4"/>
          </w:rPr>
          <w:t>Nettles (1994), laminate stiffness basis </w:t>
        </w:r>
      </w:hyperlink>
      <w:r>
        <w:t xml:space="preserve"> </w:t>
      </w:r>
    </w:p>
    <w:p>
      <w:pPr>
        <w:pStyle w:val="Caption"/>
      </w:pPr>
      <w:r>
        <w:rPr>
          <w:b/>
          <w:i w:val="0"/>
        </w:rPr>
        <w:t>A08</w:t>
      </w:r>
      <w:r>
        <w:rPr>
          <w:b w:val="0"/>
          <w:i w:val="0"/>
        </w:rPr>
        <w:t xml:space="preserve"> </w:t>
      </w:r>
      <w:r>
        <w:rPr>
          <w:b w:val="0"/>
          <w:i w:val="0"/>
        </w:rPr>
        <w:t xml:space="preserve"> </w:t>
      </w:r>
      <w:r>
        <w:rPr>
          <w:b w:val="0"/>
          <w:i w:val="0"/>
        </w:rPr>
        <w:t>Composite beam section comparison</w:t>
      </w:r>
      <w:r>
        <w:t xml:space="preserve"> </w:t>
      </w:r>
      <w:r>
        <w:rPr>
          <w:b w:val="0"/>
          <w:i w:val="0"/>
        </w:rPr>
        <w:t>Illustrated example · not a live run</w:t>
      </w:r>
      <w:r>
        <w:t xml:space="preserve"> </w:t>
      </w:r>
    </w:p>
    <w:p>
      <w:r>
        <w:t>Laminate</w:t>
      </w:r>
    </w:p>
    <w:p>
      <w:r>
        <w:t>Geometry / cycle</w:t>
      </w:r>
    </w:p>
    <w:p>
      <w:r>
        <w:t>CASES</w:t>
      </w:r>
    </w:p>
    <w:p>
      <w:r>
        <w:t>Response</w:t>
      </w:r>
    </w:p>
    <w:p>
      <w:pPr>
        <w:pStyle w:val="Heading3"/>
      </w:pPr>
      <w:r>
        <w:t>1 Inputs</w:t>
      </w:r>
    </w:p>
    <w:p>
      <w:pPr>
        <w:keepNext/>
      </w:pPr>
      <w:r>
        <w:rPr>
          <w:b w:val="0"/>
          <w:i w:val="0"/>
        </w:rPr>
        <w:t>01</w:t>
      </w:r>
    </w:p>
    <w:p>
      <w:pPr/>
      <w:r>
        <w:rPr>
          <w:b w:val="0"/>
          <w:i w:val="0"/>
        </w:rPr>
        <w:t>L 1.2 m</w:t>
      </w:r>
    </w:p>
    <w:p>
      <w:pPr>
        <w:keepNext/>
      </w:pPr>
      <w:r>
        <w:rPr>
          <w:b w:val="0"/>
          <w:i w:val="0"/>
        </w:rPr>
        <w:t>02</w:t>
      </w:r>
    </w:p>
    <w:p>
      <w:pPr/>
      <w:r>
        <w:rPr>
          <w:b w:val="0"/>
          <w:i w:val="0"/>
        </w:rPr>
        <w:t>T300/5208 QI laminate</w:t>
      </w:r>
    </w:p>
    <w:p>
      <w:pPr>
        <w:keepNext/>
      </w:pPr>
      <w:r>
        <w:rPr>
          <w:b w:val="0"/>
          <w:i w:val="0"/>
        </w:rPr>
        <w:t>03</w:t>
      </w:r>
    </w:p>
    <w:p>
      <w:pPr/>
      <w:r>
        <w:rPr>
          <w:b w:val="0"/>
          <w:i w:val="0"/>
        </w:rPr>
        <w:t>equal outer envelope</w:t>
      </w:r>
    </w:p>
    <w:p>
      <w:pPr>
        <w:keepNext/>
      </w:pPr>
      <w:r>
        <w:rPr>
          <w:b w:val="0"/>
          <w:i w:val="0"/>
        </w:rPr>
        <w:t>04</w:t>
      </w:r>
    </w:p>
    <w:p>
      <w:pPr/>
      <w:r>
        <w:rPr>
          <w:b w:val="0"/>
          <w:i w:val="0"/>
        </w:rPr>
        <w:t>fixed-fixed</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16" name="Picture 16" descr="CDS workflow or model illustration"/>
            <wp:cNvGraphicFramePr>
              <a:graphicFrameLocks noChangeAspect="1"/>
            </wp:cNvGraphicFramePr>
            <a:graphic>
              <a:graphicData uri="http://schemas.openxmlformats.org/drawingml/2006/picture">
                <pic:pic>
                  <pic:nvPicPr>
                    <pic:cNvPr id="0" name="rsvg-589fa60af225f65f4d25ec224d924d0b935d7c285860b1fb565d283225a64a1a.png"/>
                    <pic:cNvPicPr/>
                  </pic:nvPicPr>
                  <pic:blipFill>
                    <a:blip r:embed="rId75"/>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I and tube sections place more laminate away from the neutral axis and therefore increase EI per unit material relative to a compact solid section.</w:t>
      </w:r>
    </w:p>
    <w:p>
      <w:r>
        <w:rPr>
          <w:b/>
          <w:i w:val="0"/>
        </w:rPr>
        <w:t>Result basis</w:t>
      </w:r>
      <w:r>
        <w:t xml:space="preserve"> </w:t>
      </w:r>
      <w:r>
        <w:rPr>
          <w:b w:val="0"/>
          <w:i w:val="0"/>
        </w:rPr>
        <w:t>Published section mechanics · CDS Revision 8 member model</w:t>
      </w:r>
      <w:r>
        <w:rPr>
          <w:b w:val="0"/>
          <w:i w:val="0"/>
        </w:rPr>
        <w:t xml:space="preserve"> </w:t>
      </w:r>
      <w:r>
        <w:rPr>
          <w:b w:val="0"/>
          <w:i w:val="0"/>
        </w:rPr>
        <w:t>. Values and trends reproduce this page’s example; this is not a fresh solver result or an additional validation claim.</w:t>
      </w:r>
    </w:p>
    <w:p>
      <w:r>
        <w:rPr>
          <w:b w:val="0"/>
          <w:i w:val="0"/>
        </w:rPr>
        <w:t>A09</w:t>
      </w:r>
      <w:r>
        <w:t xml:space="preserve"> </w:t>
      </w:r>
      <w:r>
        <w:rPr>
          <w:b w:val="0"/>
          <w:i w:val="0"/>
        </w:rPr>
        <w:t>Euler-Bernoulli analytical invariant · CDS 24-element solve</w:t>
      </w:r>
      <w:r>
        <w:t xml:space="preserve"> </w:t>
      </w:r>
    </w:p>
    <w:p>
      <w:pPr>
        <w:pStyle w:val="Heading3"/>
      </w:pPr>
      <w:r>
        <w:t>Beam support and frequency sweep</w:t>
      </w:r>
    </w:p>
    <w:p>
      <w:pPr/>
      <w:r>
        <w:rPr>
          <w:b w:val="0"/>
          <w:i w:val="0"/>
        </w:rPr>
        <w:t>Use the calculated laminate density and EI to compare pinned-pinned, fixed-pinned, fixed-fixed, and cantilever first modes.</w:t>
      </w:r>
    </w:p>
    <w:p>
      <w:pPr>
        <w:keepNext/>
      </w:pPr>
      <w:r>
        <w:rPr>
          <w:b/>
          <w:i w:val="0"/>
        </w:rPr>
        <w:t>Sources and theory (</w:t>
      </w:r>
      <w:r>
        <w:rPr>
          <w:b/>
          <w:i w:val="0"/>
        </w:rPr>
        <w:t xml:space="preserve"> </w:t>
      </w:r>
      <w:r>
        <w:rPr>
          <w:b/>
          <w:i w:val="0"/>
        </w:rPr>
        <w:t>1</w:t>
      </w:r>
      <w:r>
        <w:rPr>
          <w:b/>
          <w:i w:val="0"/>
        </w:rPr>
        <w:t xml:space="preserve"> </w:t>
      </w:r>
      <w:r>
        <w:rPr>
          <w:b/>
          <w:i w:val="0"/>
        </w:rPr>
        <w:t>)</w:t>
      </w:r>
    </w:p>
    <w:p>
      <w:hyperlink r:id="rId71">
        <w:r>
          <w:rPr>
            <w:color w:val="176EA4"/>
          </w:rPr>
          <w:t>CDS online structural theory beam and section mechanics </w:t>
        </w:r>
      </w:hyperlink>
      <w:r>
        <w:t xml:space="preserve"> </w:t>
      </w:r>
    </w:p>
    <w:p>
      <w:pPr>
        <w:pStyle w:val="Caption"/>
      </w:pPr>
      <w:r>
        <w:rPr>
          <w:b/>
          <w:i w:val="0"/>
        </w:rPr>
        <w:t>A09</w:t>
      </w:r>
      <w:r>
        <w:rPr>
          <w:b w:val="0"/>
          <w:i w:val="0"/>
        </w:rPr>
        <w:t xml:space="preserve"> </w:t>
      </w:r>
      <w:r>
        <w:rPr>
          <w:b w:val="0"/>
          <w:i w:val="0"/>
        </w:rPr>
        <w:t xml:space="preserve"> </w:t>
      </w:r>
      <w:r>
        <w:rPr>
          <w:b w:val="0"/>
          <w:i w:val="0"/>
        </w:rPr>
        <w:t>Beam support and frequency sweep</w:t>
      </w:r>
      <w:r>
        <w:t xml:space="preserve"> </w:t>
      </w:r>
      <w:r>
        <w:rPr>
          <w:b w:val="0"/>
          <w:i w:val="0"/>
        </w:rPr>
        <w:t>Illustrated example · not a live run</w:t>
      </w:r>
      <w:r>
        <w:t xml:space="preserve"> </w:t>
      </w:r>
    </w:p>
    <w:p>
      <w:r>
        <w:t>Laminate</w:t>
      </w:r>
    </w:p>
    <w:p>
      <w:r>
        <w:t>Geometry / cycle</w:t>
      </w:r>
    </w:p>
    <w:p>
      <w:r>
        <w:t>CASES</w:t>
      </w:r>
    </w:p>
    <w:p>
      <w:r>
        <w:t>Response</w:t>
      </w:r>
    </w:p>
    <w:p>
      <w:pPr>
        <w:pStyle w:val="Heading3"/>
      </w:pPr>
      <w:r>
        <w:t>1 Inputs</w:t>
      </w:r>
    </w:p>
    <w:p>
      <w:pPr>
        <w:keepNext/>
      </w:pPr>
      <w:r>
        <w:rPr>
          <w:b w:val="0"/>
          <w:i w:val="0"/>
        </w:rPr>
        <w:t>01</w:t>
      </w:r>
    </w:p>
    <w:p>
      <w:pPr/>
      <w:r>
        <w:rPr>
          <w:b w:val="0"/>
          <w:i w:val="0"/>
        </w:rPr>
        <w:t>1.2 m I-section</w:t>
      </w:r>
    </w:p>
    <w:p>
      <w:pPr>
        <w:keepNext/>
      </w:pPr>
      <w:r>
        <w:rPr>
          <w:b w:val="0"/>
          <w:i w:val="0"/>
        </w:rPr>
        <w:t>02</w:t>
      </w:r>
    </w:p>
    <w:p>
      <w:pPr/>
      <w:r>
        <w:rPr>
          <w:b w:val="0"/>
          <w:i w:val="0"/>
        </w:rPr>
        <w:t>common EI and mass/length</w:t>
      </w:r>
    </w:p>
    <w:p>
      <w:pPr>
        <w:keepNext/>
      </w:pPr>
      <w:r>
        <w:rPr>
          <w:b w:val="0"/>
          <w:i w:val="0"/>
        </w:rPr>
        <w:t>03</w:t>
      </w:r>
    </w:p>
    <w:p>
      <w:pPr/>
      <w:r>
        <w:rPr>
          <w:b w:val="0"/>
          <w:i w:val="0"/>
        </w:rPr>
        <w:t>four support pairs</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17" name="Picture 17" descr="CDS workflow or model illustration"/>
            <wp:cNvGraphicFramePr>
              <a:graphicFrameLocks noChangeAspect="1"/>
            </wp:cNvGraphicFramePr>
            <a:graphic>
              <a:graphicData uri="http://schemas.openxmlformats.org/drawingml/2006/picture">
                <pic:pic>
                  <pic:nvPicPr>
                    <pic:cNvPr id="0" name="rsvg-53ef9252bf5ca7ab7aa389fb24ee0cc167df6aa0b226ec8b7c654ca3590bf599.png"/>
                    <pic:cNvPicPr/>
                  </pic:nvPicPr>
                  <pic:blipFill>
                    <a:blip r:embed="rId76"/>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fixed-fixed case is stiffest and highest-frequency; the cantilever is lowest, providing a direct boundary-condition QA trend.</w:t>
      </w:r>
    </w:p>
    <w:p>
      <w:r>
        <w:rPr>
          <w:b/>
          <w:i w:val="0"/>
        </w:rPr>
        <w:t>Result basis</w:t>
      </w:r>
      <w:r>
        <w:t xml:space="preserve"> </w:t>
      </w:r>
      <w:r>
        <w:rPr>
          <w:b w:val="0"/>
          <w:i w:val="0"/>
        </w:rPr>
        <w:t>Euler-Bernoulli analytical invariant · CDS 24-element solve</w:t>
      </w:r>
      <w:r>
        <w:rPr>
          <w:b w:val="0"/>
          <w:i w:val="0"/>
        </w:rPr>
        <w:t xml:space="preserve"> </w:t>
      </w:r>
      <w:r>
        <w:rPr>
          <w:b w:val="0"/>
          <w:i w:val="0"/>
        </w:rPr>
        <w:t>. Values and trends reproduce this page’s example; this is not a fresh solver result or an additional validation claim.</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8" w:name="chapter_8"/>
      <w:pPr>
        <w:pStyle w:val="Heading1"/>
        <w:pageBreakBefore/>
      </w:pPr>
      <w:r>
        <w:t>8 Laminates Solver-visible results</w:t>
      </w:r>
      <w:bookmarkEnd w:id="8"/>
    </w:p>
    <w:p>
      <w:pPr>
        <w:pStyle w:val="Caption"/>
      </w:pPr>
      <w:hyperlink r:id="rId77">
        <w:r>
          <w:rPr>
            <w:color w:val="176EA4"/>
          </w:rPr>
          <w:t>Online chapter</w:t>
        </w:r>
      </w:hyperlink>
      <w:r>
        <w:t xml:space="preserve"> </w:t>
      </w:r>
    </w:p>
    <w:p>
      <w:pPr/>
      <w:r>
        <w:rPr>
          <w:b w:val="0"/>
          <w:i w:val="0"/>
        </w:rPr>
        <w:t>Turn ply data and stacking sequences into extensional stiffness, equivalent laminate families, and design-level comparisons.</w:t>
      </w:r>
      <w:r>
        <w:rPr>
          <w:b w:val="0"/>
          <w:i w:val="0"/>
        </w:rPr>
        <w:t xml:space="preserve"> </w:t>
      </w:r>
      <w:r>
        <w:rPr>
          <w:b w:val="0"/>
          <w:i w:val="0"/>
        </w:rPr>
        <w:t xml:space="preserve"> Every case identifies its inputs, calculated readout, provenance, and primary technical sources.</w:t>
      </w:r>
    </w:p>
    <w:p>
      <w:pPr/>
      <w:r>
        <w:rPr>
          <w:b/>
          <w:i w:val="0"/>
        </w:rPr>
        <w:t>Traceable by design.</w:t>
      </w:r>
      <w:r>
        <w:rPr>
          <w:b w:val="0"/>
          <w:i w:val="0"/>
        </w:rPr>
        <w:t xml:space="preserve"> Published values are transcribed from linked primary sources. CDS plots are calculated or reconstructed from the stated inputs and are clearly labeled.</w:t>
      </w:r>
    </w:p>
    <w:p>
      <w:pPr/>
      <w:r>
        <w:rPr>
          <w:b w:val="0"/>
          <w:i w:val="0"/>
        </w:rPr>
        <w:t>Example class</w:t>
      </w:r>
    </w:p>
    <w:p>
      <w:pPr>
        <w:pStyle w:val="Heading2"/>
      </w:pPr>
      <w:r>
        <w:t>Laminates</w:t>
      </w:r>
    </w:p>
    <w:p>
      <w:pPr/>
      <w:r>
        <w:rPr>
          <w:b w:val="0"/>
          <w:i w:val="0"/>
        </w:rPr>
        <w:t>Turn ply data and stacking sequences into extensional stiffness, equivalent laminate families, and design-level comparisons.</w:t>
      </w:r>
    </w:p>
    <w:p>
      <w:r>
        <w:rPr>
          <w:b w:val="0"/>
          <w:i w:val="0"/>
        </w:rPr>
        <w:t>L01</w:t>
      </w:r>
      <w:r>
        <w:t xml:space="preserve"> </w:t>
      </w:r>
      <w:r>
        <w:rPr>
          <w:b w:val="0"/>
          <w:i w:val="0"/>
        </w:rPr>
        <w:t>Published layup families · CDS CLT</w:t>
      </w:r>
      <w:r>
        <w:t xml:space="preserve"> </w:t>
      </w:r>
    </w:p>
    <w:p>
      <w:pPr>
        <w:pStyle w:val="Heading3"/>
      </w:pPr>
      <w:r>
        <w:t>Quasi-isotropic laminate family</w:t>
      </w:r>
    </w:p>
    <w:p>
      <w:pPr/>
      <w:r>
        <w:rPr>
          <w:b w:val="0"/>
          <w:i w:val="0"/>
        </w:rPr>
        <w:t>Compare four symmetric stacking families using the same T300/5208 lamina so differences come from architecture, not changing material cards.</w:t>
      </w:r>
    </w:p>
    <w:p>
      <w:pPr>
        <w:keepNext/>
      </w:pPr>
      <w:r>
        <w:rPr>
          <w:b/>
          <w:i w:val="0"/>
        </w:rPr>
        <w:t>Sources and theory (</w:t>
      </w:r>
      <w:r>
        <w:rPr>
          <w:b/>
          <w:i w:val="0"/>
        </w:rPr>
        <w:t xml:space="preserve"> </w:t>
      </w:r>
      <w:r>
        <w:rPr>
          <w:b/>
          <w:i w:val="0"/>
        </w:rPr>
        <w:t>2</w:t>
      </w:r>
      <w:r>
        <w:rPr>
          <w:b/>
          <w:i w:val="0"/>
        </w:rPr>
        <w:t xml:space="preserve"> </w:t>
      </w:r>
      <w:r>
        <w:rPr>
          <w:b/>
          <w:i w:val="0"/>
        </w:rPr>
        <w:t>)</w:t>
      </w:r>
    </w:p>
    <w:p>
      <w:hyperlink r:id="rId68">
        <w:r>
          <w:rPr>
            <w:color w:val="176EA4"/>
          </w:rPr>
          <w:t>Nettles (1994), NASA RP-1351 </w:t>
        </w:r>
      </w:hyperlink>
      <w:r>
        <w:t xml:space="preserve"> </w:t>
      </w:r>
    </w:p>
    <w:p>
      <w:hyperlink r:id="rId78">
        <w:r>
          <w:rPr>
            <w:color w:val="176EA4"/>
          </w:rPr>
          <w:t>Sullivan (1977), quasi-isotropic graphite/epoxy </w:t>
        </w:r>
      </w:hyperlink>
      <w:r>
        <w:t xml:space="preserve"> </w:t>
      </w:r>
    </w:p>
    <w:p>
      <w:pPr>
        <w:pStyle w:val="Caption"/>
      </w:pPr>
      <w:r>
        <w:rPr>
          <w:b/>
          <w:i w:val="0"/>
        </w:rPr>
        <w:t>L01</w:t>
      </w:r>
      <w:r>
        <w:rPr>
          <w:b w:val="0"/>
          <w:i w:val="0"/>
        </w:rPr>
        <w:t xml:space="preserve"> </w:t>
      </w:r>
      <w:r>
        <w:rPr>
          <w:b w:val="0"/>
          <w:i w:val="0"/>
        </w:rPr>
        <w:t xml:space="preserve"> </w:t>
      </w:r>
      <w:r>
        <w:rPr>
          <w:b w:val="0"/>
          <w:i w:val="0"/>
        </w:rPr>
        <w:t>Quasi-isotropic laminate family</w:t>
      </w:r>
      <w:r>
        <w:t xml:space="preserve"> </w:t>
      </w:r>
      <w:r>
        <w:rPr>
          <w:b w:val="0"/>
          <w:i w:val="0"/>
        </w:rPr>
        <w:t>Illustrated example · not a live run</w:t>
      </w:r>
      <w:r>
        <w:t xml:space="preserve"> </w:t>
      </w:r>
    </w:p>
    <w:p>
      <w:r>
        <w:t>Ply properties</w:t>
      </w:r>
    </w:p>
    <w:p>
      <w:r>
        <w:t>Laminates</w:t>
      </w:r>
    </w:p>
    <w:p>
      <w:r>
        <w:t>Response</w:t>
      </w:r>
    </w:p>
    <w:p>
      <w:pPr>
        <w:pStyle w:val="Heading3"/>
      </w:pPr>
      <w:r>
        <w:t>1 Inputs</w:t>
      </w:r>
    </w:p>
    <w:p>
      <w:pPr>
        <w:keepNext/>
      </w:pPr>
      <w:r>
        <w:rPr>
          <w:b w:val="0"/>
          <w:i w:val="0"/>
        </w:rPr>
        <w:t>01</w:t>
      </w:r>
    </w:p>
    <w:p>
      <w:pPr/>
      <w:r>
        <w:rPr>
          <w:b w:val="0"/>
          <w:i w:val="0"/>
        </w:rPr>
        <w:t>QI-8</w:t>
      </w:r>
    </w:p>
    <w:p>
      <w:pPr>
        <w:keepNext/>
      </w:pPr>
      <w:r>
        <w:rPr>
          <w:b w:val="0"/>
          <w:i w:val="0"/>
        </w:rPr>
        <w:t>02</w:t>
      </w:r>
    </w:p>
    <w:p>
      <w:pPr/>
      <w:r>
        <w:rPr>
          <w:b w:val="0"/>
          <w:i w:val="0"/>
        </w:rPr>
        <w:t>cross-ply</w:t>
      </w:r>
    </w:p>
    <w:p>
      <w:pPr>
        <w:keepNext/>
      </w:pPr>
      <w:r>
        <w:rPr>
          <w:b w:val="0"/>
          <w:i w:val="0"/>
        </w:rPr>
        <w:t>03</w:t>
      </w:r>
    </w:p>
    <w:p>
      <w:pPr/>
      <w:r>
        <w:rPr>
          <w:b w:val="0"/>
          <w:i w:val="0"/>
        </w:rPr>
        <w:t>±45 angle-ply</w:t>
      </w:r>
    </w:p>
    <w:p>
      <w:pPr>
        <w:keepNext/>
      </w:pPr>
      <w:r>
        <w:rPr>
          <w:b w:val="0"/>
          <w:i w:val="0"/>
        </w:rPr>
        <w:t>04</w:t>
      </w:r>
    </w:p>
    <w:p>
      <w:pPr/>
      <w:r>
        <w:rPr>
          <w:b w:val="0"/>
          <w:i w:val="0"/>
        </w:rPr>
        <w:t>0/±60 tri-axial</w:t>
      </w:r>
    </w:p>
    <w:p>
      <w:pPr>
        <w:keepNext/>
      </w:pPr>
      <w:r>
        <w:rPr>
          <w:b w:val="0"/>
          <w:i w:val="0"/>
        </w:rPr>
        <w:t>05</w:t>
      </w:r>
    </w:p>
    <w:p>
      <w:pPr/>
      <w:r>
        <w:rPr>
          <w:b w:val="0"/>
          <w:i w:val="0"/>
        </w:rPr>
        <w:t>0.125 mm plies</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18" name="Picture 18" descr="CDS workflow or model illustration"/>
            <wp:cNvGraphicFramePr>
              <a:graphicFrameLocks noChangeAspect="1"/>
            </wp:cNvGraphicFramePr>
            <a:graphic>
              <a:graphicData uri="http://schemas.openxmlformats.org/drawingml/2006/picture">
                <pic:pic>
                  <pic:nvPicPr>
                    <pic:cNvPr id="0" name="rsvg-e4e3477b41afd050fa9a281fa05a9e8a510d542ed861702c0cdaed6ca1e8e4f6.png"/>
                    <pic:cNvPicPr/>
                  </pic:nvPicPr>
                  <pic:blipFill>
                    <a:blip r:embed="rId56"/>
                    <a:stretch>
                      <a:fillRect/>
                    </a:stretch>
                  </pic:blipFill>
                  <pic:spPr>
                    <a:xfrm>
                      <a:off x="0" y="0"/>
                      <a:ext cx="6217920" cy="2914650"/>
                    </a:xfrm>
                    <a:prstGeom prst="rect"/>
                  </pic:spPr>
                </pic:pic>
              </a:graphicData>
            </a:graphic>
          </wp:inline>
        </w:drawing>
      </w:r>
    </w:p>
    <w:p>
      <w:pPr>
        <w:keepNext/>
      </w:pPr>
      <w:r>
        <w:t>What the result shows</w:t>
      </w:r>
    </w:p>
    <w:p>
      <w:pPr/>
      <w:r>
        <w:rPr>
          <w:b w:val="0"/>
          <w:i w:val="0"/>
        </w:rPr>
        <w:t>QI-8 and 0/±60 return the same Ex = Ey = 69.68 GPa and Gxy = 26.88 GPa.</w:t>
      </w:r>
    </w:p>
    <w:p>
      <w:r>
        <w:rPr>
          <w:b/>
          <w:i w:val="0"/>
        </w:rPr>
        <w:t>Result basis</w:t>
      </w:r>
      <w:r>
        <w:t xml:space="preserve"> </w:t>
      </w:r>
      <w:r>
        <w:rPr>
          <w:b w:val="0"/>
          <w:i w:val="0"/>
        </w:rPr>
        <w:t>Published layup families · CDS CLT</w:t>
      </w:r>
      <w:r>
        <w:rPr>
          <w:b w:val="0"/>
          <w:i w:val="0"/>
        </w:rPr>
        <w:t xml:space="preserve"> </w:t>
      </w:r>
      <w:r>
        <w:rPr>
          <w:b w:val="0"/>
          <w:i w:val="0"/>
        </w:rPr>
        <w:t>. Values and trends reproduce this page’s example; this is not a fresh solver result or an additional validation claim.</w:t>
      </w:r>
    </w:p>
    <w:p>
      <w:r>
        <w:rPr>
          <w:b w:val="0"/>
          <w:i w:val="0"/>
        </w:rPr>
        <w:t>L02</w:t>
      </w:r>
      <w:r>
        <w:t xml:space="preserve"> </w:t>
      </w:r>
      <w:r>
        <w:rPr>
          <w:b w:val="0"/>
          <w:i w:val="0"/>
        </w:rPr>
        <w:t>CDS search · Tsai DD construction</w:t>
      </w:r>
      <w:r>
        <w:t xml:space="preserve"> </w:t>
      </w:r>
    </w:p>
    <w:p>
      <w:pPr>
        <w:pStyle w:val="Heading3"/>
      </w:pPr>
      <w:r>
        <w:t>Double-Double stiffness match</w:t>
      </w:r>
    </w:p>
    <w:p>
      <w:pPr/>
      <w:r>
        <w:rPr>
          <w:b w:val="0"/>
          <w:i w:val="0"/>
        </w:rPr>
        <w:t>Search the Double-Double angle field for a compact laminate that preserves the in-plane stiffness of the default eight-ply quasi-isotropic construction.</w:t>
      </w:r>
    </w:p>
    <w:p>
      <w:pPr>
        <w:keepNext/>
      </w:pPr>
      <w:r>
        <w:rPr>
          <w:b/>
          <w:i w:val="0"/>
        </w:rPr>
        <w:t>Sources and theory (</w:t>
      </w:r>
      <w:r>
        <w:rPr>
          <w:b/>
          <w:i w:val="0"/>
        </w:rPr>
        <w:t xml:space="preserve"> </w:t>
      </w:r>
      <w:r>
        <w:rPr>
          <w:b/>
          <w:i w:val="0"/>
        </w:rPr>
        <w:t>1</w:t>
      </w:r>
      <w:r>
        <w:rPr>
          <w:b/>
          <w:i w:val="0"/>
        </w:rPr>
        <w:t xml:space="preserve"> </w:t>
      </w:r>
      <w:r>
        <w:rPr>
          <w:b/>
          <w:i w:val="0"/>
        </w:rPr>
        <w:t>)</w:t>
      </w:r>
    </w:p>
    <w:p>
      <w:hyperlink r:id="rId79">
        <w:r>
          <w:rPr>
            <w:color w:val="176EA4"/>
          </w:rPr>
          <w:t>Tsai (2021), Double–Double laminate family </w:t>
        </w:r>
      </w:hyperlink>
      <w:r>
        <w:t xml:space="preserve"> </w:t>
      </w:r>
    </w:p>
    <w:p>
      <w:pPr>
        <w:pStyle w:val="Caption"/>
      </w:pPr>
      <w:r>
        <w:rPr>
          <w:b/>
          <w:i w:val="0"/>
        </w:rPr>
        <w:t>L02</w:t>
      </w:r>
      <w:r>
        <w:rPr>
          <w:b w:val="0"/>
          <w:i w:val="0"/>
        </w:rPr>
        <w:t xml:space="preserve"> </w:t>
      </w:r>
      <w:r>
        <w:rPr>
          <w:b w:val="0"/>
          <w:i w:val="0"/>
        </w:rPr>
        <w:t xml:space="preserve"> </w:t>
      </w:r>
      <w:r>
        <w:rPr>
          <w:b w:val="0"/>
          <w:i w:val="0"/>
        </w:rPr>
        <w:t>Double-Double stiffness match</w:t>
      </w:r>
      <w:r>
        <w:t xml:space="preserve"> </w:t>
      </w:r>
      <w:r>
        <w:rPr>
          <w:b w:val="0"/>
          <w:i w:val="0"/>
        </w:rPr>
        <w:t>Illustrated example · not a live run</w:t>
      </w:r>
      <w:r>
        <w:t xml:space="preserve"> </w:t>
      </w:r>
    </w:p>
    <w:p>
      <w:r>
        <w:t>Ply properties</w:t>
      </w:r>
    </w:p>
    <w:p>
      <w:r>
        <w:t>Laminates</w:t>
      </w:r>
    </w:p>
    <w:p>
      <w:r>
        <w:t>Response</w:t>
      </w:r>
    </w:p>
    <w:p>
      <w:pPr>
        <w:pStyle w:val="Heading3"/>
      </w:pPr>
      <w:r>
        <w:t>1 Inputs</w:t>
      </w:r>
    </w:p>
    <w:p>
      <w:pPr>
        <w:keepNext/>
      </w:pPr>
      <w:r>
        <w:rPr>
          <w:b w:val="0"/>
          <w:i w:val="0"/>
        </w:rPr>
        <w:t>01</w:t>
      </w:r>
    </w:p>
    <w:p>
      <w:pPr/>
      <w:r>
        <w:rPr>
          <w:b w:val="0"/>
          <w:i w:val="0"/>
        </w:rPr>
        <w:t>Target [0/45/−45/90]s</w:t>
      </w:r>
    </w:p>
    <w:p>
      <w:pPr>
        <w:keepNext/>
      </w:pPr>
      <w:r>
        <w:rPr>
          <w:b w:val="0"/>
          <w:i w:val="0"/>
        </w:rPr>
        <w:t>02</w:t>
      </w:r>
    </w:p>
    <w:p>
      <w:pPr/>
      <w:r>
        <w:rPr>
          <w:b w:val="0"/>
          <w:i w:val="0"/>
        </w:rPr>
        <w:t>candidate [±22.5/±67.5]₂</w:t>
      </w:r>
    </w:p>
    <w:p>
      <w:pPr>
        <w:keepNext/>
      </w:pPr>
      <w:r>
        <w:rPr>
          <w:b w:val="0"/>
          <w:i w:val="0"/>
        </w:rPr>
        <w:t>03</w:t>
      </w:r>
    </w:p>
    <w:p>
      <w:pPr/>
      <w:r>
        <w:rPr>
          <w:b w:val="0"/>
          <w:i w:val="0"/>
        </w:rPr>
        <w:t>T300/5208</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19" name="Picture 19" descr="CDS workflow or model illustration"/>
            <wp:cNvGraphicFramePr>
              <a:graphicFrameLocks noChangeAspect="1"/>
            </wp:cNvGraphicFramePr>
            <a:graphic>
              <a:graphicData uri="http://schemas.openxmlformats.org/drawingml/2006/picture">
                <pic:pic>
                  <pic:nvPicPr>
                    <pic:cNvPr id="0" name="rsvg-5896700dcd4bf8aa7e9382f9fbf0d04c66d4795b48383c6ab6634733ee136bae.png"/>
                    <pic:cNvPicPr/>
                  </pic:nvPicPr>
                  <pic:blipFill>
                    <a:blip r:embed="rId80"/>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7.5° grid search reproduces Ex, Ey, Gxy, and the full A matrix to numerical precision.</w:t>
      </w:r>
    </w:p>
    <w:p>
      <w:r>
        <w:rPr>
          <w:b/>
          <w:i w:val="0"/>
        </w:rPr>
        <w:t>Result basis</w:t>
      </w:r>
      <w:r>
        <w:t xml:space="preserve"> </w:t>
      </w:r>
      <w:r>
        <w:rPr>
          <w:b w:val="0"/>
          <w:i w:val="0"/>
        </w:rPr>
        <w:t>CDS search · Tsai DD construction</w:t>
      </w:r>
      <w:r>
        <w:rPr>
          <w:b w:val="0"/>
          <w:i w:val="0"/>
        </w:rPr>
        <w:t xml:space="preserve"> </w:t>
      </w:r>
      <w:r>
        <w:rPr>
          <w:b w:val="0"/>
          <w:i w:val="0"/>
        </w:rPr>
        <w:t>. Values and trends reproduce this page’s example; this is not a fresh solver result or an additional validation claim.</w:t>
      </w:r>
    </w:p>
    <w:p>
      <w:r>
        <w:rPr>
          <w:b w:val="0"/>
          <w:i w:val="0"/>
        </w:rPr>
        <w:t>L03</w:t>
      </w:r>
      <w:r>
        <w:t xml:space="preserve"> </w:t>
      </w:r>
      <w:r>
        <w:rPr>
          <w:b w:val="0"/>
          <w:i w:val="0"/>
        </w:rPr>
        <w:t>NASA reported plateaus</w:t>
      </w:r>
      <w:r>
        <w:t xml:space="preserve"> </w:t>
      </w:r>
    </w:p>
    <w:p>
      <w:pPr>
        <w:pStyle w:val="Heading3"/>
      </w:pPr>
      <w:r>
        <w:t>Thick-laminate toughness plateaus</w:t>
      </w:r>
    </w:p>
    <w:p>
      <w:pPr/>
      <w:r>
        <w:rPr>
          <w:b w:val="0"/>
          <w:i w:val="0"/>
        </w:rPr>
        <w:t>Compare reported thickness-independent fracture-toughness regions for three T300/5208 laminate families before selecting a layup for damage-tolerant design.</w:t>
      </w:r>
    </w:p>
    <w:p>
      <w:pPr>
        <w:keepNext/>
      </w:pPr>
      <w:r>
        <w:rPr>
          <w:b/>
          <w:i w:val="0"/>
        </w:rPr>
        <w:t>Sources and theory (</w:t>
      </w:r>
      <w:r>
        <w:rPr>
          <w:b/>
          <w:i w:val="0"/>
        </w:rPr>
        <w:t xml:space="preserve"> </w:t>
      </w:r>
      <w:r>
        <w:rPr>
          <w:b/>
          <w:i w:val="0"/>
        </w:rPr>
        <w:t>1</w:t>
      </w:r>
      <w:r>
        <w:rPr>
          <w:b/>
          <w:i w:val="0"/>
        </w:rPr>
        <w:t xml:space="preserve"> </w:t>
      </w:r>
      <w:r>
        <w:rPr>
          <w:b/>
          <w:i w:val="0"/>
        </w:rPr>
        <w:t>)</w:t>
      </w:r>
    </w:p>
    <w:p>
      <w:hyperlink r:id="rId81">
        <w:r>
          <w:rPr>
            <w:color w:val="176EA4"/>
          </w:rPr>
          <w:t>Harris &amp; Morris (1984), NASA CR-3784 </w:t>
        </w:r>
      </w:hyperlink>
      <w:r>
        <w:t xml:space="preserve"> </w:t>
      </w:r>
    </w:p>
    <w:p>
      <w:pPr>
        <w:pStyle w:val="Caption"/>
      </w:pPr>
      <w:r>
        <w:rPr>
          <w:b/>
          <w:i w:val="0"/>
        </w:rPr>
        <w:t>L03</w:t>
      </w:r>
      <w:r>
        <w:rPr>
          <w:b w:val="0"/>
          <w:i w:val="0"/>
        </w:rPr>
        <w:t xml:space="preserve"> </w:t>
      </w:r>
      <w:r>
        <w:rPr>
          <w:b w:val="0"/>
          <w:i w:val="0"/>
        </w:rPr>
        <w:t xml:space="preserve"> </w:t>
      </w:r>
      <w:r>
        <w:rPr>
          <w:b w:val="0"/>
          <w:i w:val="0"/>
        </w:rPr>
        <w:t>Thick-laminate toughness plateaus</w:t>
      </w:r>
      <w:r>
        <w:t xml:space="preserve"> </w:t>
      </w:r>
      <w:r>
        <w:rPr>
          <w:b w:val="0"/>
          <w:i w:val="0"/>
        </w:rPr>
        <w:t>Illustrated example · not a live run</w:t>
      </w:r>
      <w:r>
        <w:t xml:space="preserve"> </w:t>
      </w:r>
    </w:p>
    <w:p>
      <w:r>
        <w:t>Ply properties</w:t>
      </w:r>
    </w:p>
    <w:p>
      <w:r>
        <w:t>Laminates</w:t>
      </w:r>
    </w:p>
    <w:p>
      <w:r>
        <w:t>Response</w:t>
      </w:r>
    </w:p>
    <w:p>
      <w:pPr>
        <w:pStyle w:val="Heading3"/>
      </w:pPr>
      <w:r>
        <w:t>1 Inputs</w:t>
      </w:r>
    </w:p>
    <w:p>
      <w:pPr>
        <w:keepNext/>
      </w:pPr>
      <w:r>
        <w:rPr>
          <w:b w:val="0"/>
          <w:i w:val="0"/>
        </w:rPr>
        <w:t>01</w:t>
      </w:r>
    </w:p>
    <w:p>
      <w:pPr/>
      <w:r>
        <w:rPr>
          <w:b w:val="0"/>
          <w:i w:val="0"/>
        </w:rPr>
        <w:t>8–120 plies</w:t>
      </w:r>
    </w:p>
    <w:p>
      <w:pPr>
        <w:keepNext/>
      </w:pPr>
      <w:r>
        <w:rPr>
          <w:b w:val="0"/>
          <w:i w:val="0"/>
        </w:rPr>
        <w:t>02</w:t>
      </w:r>
    </w:p>
    <w:p>
      <w:pPr/>
      <w:r>
        <w:rPr>
          <w:b w:val="0"/>
          <w:i w:val="0"/>
        </w:rPr>
        <w:t>(0/90)ns</w:t>
      </w:r>
    </w:p>
    <w:p>
      <w:pPr>
        <w:keepNext/>
      </w:pPr>
      <w:r>
        <w:rPr>
          <w:b w:val="0"/>
          <w:i w:val="0"/>
        </w:rPr>
        <w:t>03</w:t>
      </w:r>
    </w:p>
    <w:p>
      <w:pPr/>
      <w:r>
        <w:rPr>
          <w:b w:val="0"/>
          <w:i w:val="0"/>
        </w:rPr>
        <w:t>(0/±45/90)ns</w:t>
      </w:r>
    </w:p>
    <w:p>
      <w:pPr>
        <w:keepNext/>
      </w:pPr>
      <w:r>
        <w:rPr>
          <w:b w:val="0"/>
          <w:i w:val="0"/>
        </w:rPr>
        <w:t>04</w:t>
      </w:r>
    </w:p>
    <w:p>
      <w:pPr/>
      <w:r>
        <w:rPr>
          <w:b w:val="0"/>
          <w:i w:val="0"/>
        </w:rPr>
        <w:t>(0/±45)ns</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20" name="Picture 20" descr="CDS workflow or model illustration"/>
            <wp:cNvGraphicFramePr>
              <a:graphicFrameLocks noChangeAspect="1"/>
            </wp:cNvGraphicFramePr>
            <a:graphic>
              <a:graphicData uri="http://schemas.openxmlformats.org/drawingml/2006/picture">
                <pic:pic>
                  <pic:nvPicPr>
                    <pic:cNvPr id="0" name="rsvg-2dd8a0eddd178fd41741df162cb6fe5cc2d98bec929e3c82c30983805b791553.png"/>
                    <pic:cNvPicPr/>
                  </pic:nvPicPr>
                  <pic:blipFill>
                    <a:blip r:embed="rId82"/>
                    <a:stretch>
                      <a:fillRect/>
                    </a:stretch>
                  </pic:blipFill>
                  <pic:spPr>
                    <a:xfrm>
                      <a:off x="0" y="0"/>
                      <a:ext cx="6217920" cy="2914650"/>
                    </a:xfrm>
                    <a:prstGeom prst="rect"/>
                  </pic:spPr>
                </pic:pic>
              </a:graphicData>
            </a:graphic>
          </wp:inline>
        </w:drawing>
      </w:r>
    </w:p>
    <w:p>
      <w:pPr>
        <w:keepNext/>
      </w:pPr>
      <w:r>
        <w:t>What the result shows</w:t>
      </w:r>
    </w:p>
    <w:p>
      <w:pPr/>
      <w:r>
        <w:rPr>
          <w:b w:val="0"/>
          <w:i w:val="0"/>
        </w:rPr>
        <w:t>Reported plateaus range from 869 to 1390 MPa√mm; the 0/±45 family is highest.</w:t>
      </w:r>
    </w:p>
    <w:p>
      <w:r>
        <w:rPr>
          <w:b/>
          <w:i w:val="0"/>
        </w:rPr>
        <w:t>Result basis</w:t>
      </w:r>
      <w:r>
        <w:t xml:space="preserve"> </w:t>
      </w:r>
      <w:r>
        <w:rPr>
          <w:b w:val="0"/>
          <w:i w:val="0"/>
        </w:rPr>
        <w:t>NASA reported plateaus</w:t>
      </w:r>
      <w:r>
        <w:rPr>
          <w:b w:val="0"/>
          <w:i w:val="0"/>
        </w:rPr>
        <w:t xml:space="preserve"> </w:t>
      </w:r>
      <w:r>
        <w:rPr>
          <w:b w:val="0"/>
          <w:i w:val="0"/>
        </w:rPr>
        <w:t>. Values and trends reproduce this page’s example; this is not a fresh solver result or an additional validation claim.</w:t>
      </w:r>
    </w:p>
    <w:p>
      <w:r>
        <w:rPr>
          <w:b w:val="0"/>
          <w:i w:val="0"/>
        </w:rPr>
        <w:t>L04</w:t>
      </w:r>
      <w:r>
        <w:t xml:space="preserve"> </w:t>
      </w:r>
      <w:r>
        <w:rPr>
          <w:b w:val="0"/>
          <w:i w:val="0"/>
        </w:rPr>
        <w:t>CDS r15 ABD assembly</w:t>
      </w:r>
      <w:r>
        <w:t xml:space="preserve"> </w:t>
      </w:r>
    </w:p>
    <w:p>
      <w:pPr>
        <w:pStyle w:val="Heading3"/>
      </w:pPr>
      <w:r>
        <w:t>Symmetric versus unsymmetric coupling</w:t>
      </w:r>
    </w:p>
    <w:p>
      <w:pPr/>
      <w:r>
        <w:rPr>
          <w:b w:val="0"/>
          <w:i w:val="0"/>
        </w:rPr>
        <w:t>Assemble ABD matrices for symmetric and unsymmetric stacks and compare the normalized extension–bending coupling magnitude.</w:t>
      </w:r>
    </w:p>
    <w:p>
      <w:pPr>
        <w:keepNext/>
      </w:pPr>
      <w:r>
        <w:rPr>
          <w:b/>
          <w:i w:val="0"/>
        </w:rPr>
        <w:t>Sources and theory (</w:t>
      </w:r>
      <w:r>
        <w:rPr>
          <w:b/>
          <w:i w:val="0"/>
        </w:rPr>
        <w:t xml:space="preserve"> </w:t>
      </w:r>
      <w:r>
        <w:rPr>
          <w:b/>
          <w:i w:val="0"/>
        </w:rPr>
        <w:t>1</w:t>
      </w:r>
      <w:r>
        <w:rPr>
          <w:b/>
          <w:i w:val="0"/>
        </w:rPr>
        <w:t xml:space="preserve"> </w:t>
      </w:r>
      <w:r>
        <w:rPr>
          <w:b/>
          <w:i w:val="0"/>
        </w:rPr>
        <w:t>)</w:t>
      </w:r>
    </w:p>
    <w:p>
      <w:hyperlink r:id="rId83">
        <w:r>
          <w:rPr>
            <w:color w:val="176EA4"/>
          </w:rPr>
          <w:t>CDS laminate framework and ABD theory </w:t>
        </w:r>
      </w:hyperlink>
      <w:r>
        <w:t xml:space="preserve"> </w:t>
      </w:r>
    </w:p>
    <w:p>
      <w:pPr>
        <w:pStyle w:val="Caption"/>
      </w:pPr>
      <w:r>
        <w:rPr>
          <w:b/>
          <w:i w:val="0"/>
        </w:rPr>
        <w:t>L04</w:t>
      </w:r>
      <w:r>
        <w:rPr>
          <w:b w:val="0"/>
          <w:i w:val="0"/>
        </w:rPr>
        <w:t xml:space="preserve"> </w:t>
      </w:r>
      <w:r>
        <w:rPr>
          <w:b w:val="0"/>
          <w:i w:val="0"/>
        </w:rPr>
        <w:t xml:space="preserve"> </w:t>
      </w:r>
      <w:r>
        <w:rPr>
          <w:b w:val="0"/>
          <w:i w:val="0"/>
        </w:rPr>
        <w:t>Symmetric versus unsymmetric coupling</w:t>
      </w:r>
      <w:r>
        <w:t xml:space="preserve"> </w:t>
      </w:r>
      <w:r>
        <w:rPr>
          <w:b w:val="0"/>
          <w:i w:val="0"/>
        </w:rPr>
        <w:t>Illustrated example · not a live run</w:t>
      </w:r>
      <w:r>
        <w:t xml:space="preserve"> </w:t>
      </w:r>
    </w:p>
    <w:p>
      <w:r>
        <w:t>Ply properties</w:t>
      </w:r>
    </w:p>
    <w:p>
      <w:r>
        <w:t>Laminates</w:t>
      </w:r>
    </w:p>
    <w:p>
      <w:r>
        <w:t>Response</w:t>
      </w:r>
    </w:p>
    <w:p>
      <w:pPr>
        <w:pStyle w:val="Heading3"/>
      </w:pPr>
      <w:r>
        <w:t>1 Inputs</w:t>
      </w:r>
    </w:p>
    <w:p>
      <w:pPr>
        <w:keepNext/>
      </w:pPr>
      <w:r>
        <w:rPr>
          <w:b w:val="0"/>
          <w:i w:val="0"/>
        </w:rPr>
        <w:t>01</w:t>
      </w:r>
    </w:p>
    <w:p>
      <w:pPr/>
      <w:r>
        <w:rPr>
          <w:b w:val="0"/>
          <w:i w:val="0"/>
        </w:rPr>
        <w:t>[0/45/−45/90]s versus [0/45/90/−45]</w:t>
      </w:r>
    </w:p>
    <w:p>
      <w:pPr>
        <w:keepNext/>
      </w:pPr>
      <w:r>
        <w:rPr>
          <w:b w:val="0"/>
          <w:i w:val="0"/>
        </w:rPr>
        <w:t>02</w:t>
      </w:r>
    </w:p>
    <w:p>
      <w:pPr/>
      <w:r>
        <w:rPr>
          <w:b w:val="0"/>
          <w:i w:val="0"/>
        </w:rPr>
        <w:t>0.125 mm plies</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21" name="Picture 21" descr="CDS workflow or model illustration"/>
            <wp:cNvGraphicFramePr>
              <a:graphicFrameLocks noChangeAspect="1"/>
            </wp:cNvGraphicFramePr>
            <a:graphic>
              <a:graphicData uri="http://schemas.openxmlformats.org/drawingml/2006/picture">
                <pic:pic>
                  <pic:nvPicPr>
                    <pic:cNvPr id="0" name="rsvg-f8e865bc678420cb4c87ceab9a0cad7ea3f884f8d7f004346b1dc06b8a4ea270.png"/>
                    <pic:cNvPicPr/>
                  </pic:nvPicPr>
                  <pic:blipFill>
                    <a:blip r:embed="rId84"/>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symmetric stack returns zero B coupling while the unsymmetric stack retains a normalized coupling magnitude of 0.42.</w:t>
      </w:r>
    </w:p>
    <w:p>
      <w:r>
        <w:rPr>
          <w:b/>
          <w:i w:val="0"/>
        </w:rPr>
        <w:t>Result basis</w:t>
      </w:r>
      <w:r>
        <w:t xml:space="preserve"> </w:t>
      </w:r>
      <w:r>
        <w:rPr>
          <w:b w:val="0"/>
          <w:i w:val="0"/>
        </w:rPr>
        <w:t>CDS r15 ABD assembly</w:t>
      </w:r>
      <w:r>
        <w:rPr>
          <w:b w:val="0"/>
          <w:i w:val="0"/>
        </w:rPr>
        <w:t xml:space="preserve"> </w:t>
      </w:r>
      <w:r>
        <w:rPr>
          <w:b w:val="0"/>
          <w:i w:val="0"/>
        </w:rPr>
        <w:t>. Values and trends reproduce this page’s example; this is not a fresh solver result or an additional validation claim.</w:t>
      </w:r>
    </w:p>
    <w:p>
      <w:r>
        <w:rPr>
          <w:b w:val="0"/>
          <w:i w:val="0"/>
        </w:rPr>
        <w:t>L05</w:t>
      </w:r>
      <w:r>
        <w:t xml:space="preserve"> </w:t>
      </w:r>
      <w:r>
        <w:rPr>
          <w:b w:val="0"/>
          <w:i w:val="0"/>
        </w:rPr>
        <w:t>CDS r15 hygrothermal CLT solve</w:t>
      </w:r>
      <w:r>
        <w:t xml:space="preserve"> </w:t>
      </w:r>
    </w:p>
    <w:p>
      <w:pPr>
        <w:pStyle w:val="Heading3"/>
      </w:pPr>
      <w:r>
        <w:t>Thermal-curvature comparison</w:t>
      </w:r>
    </w:p>
    <w:p>
      <w:pPr/>
      <w:r>
        <w:rPr>
          <w:b w:val="0"/>
          <w:i w:val="0"/>
        </w:rPr>
        <w:t>Apply the same through-thickness temperature change to balanced stacks with different symmetry and recover free laminate curvature.</w:t>
      </w:r>
    </w:p>
    <w:p>
      <w:pPr>
        <w:keepNext/>
      </w:pPr>
      <w:r>
        <w:rPr>
          <w:b/>
          <w:i w:val="0"/>
        </w:rPr>
        <w:t>Sources and theory (</w:t>
      </w:r>
      <w:r>
        <w:rPr>
          <w:b/>
          <w:i w:val="0"/>
        </w:rPr>
        <w:t xml:space="preserve"> </w:t>
      </w:r>
      <w:r>
        <w:rPr>
          <w:b/>
          <w:i w:val="0"/>
        </w:rPr>
        <w:t>1</w:t>
      </w:r>
      <w:r>
        <w:rPr>
          <w:b/>
          <w:i w:val="0"/>
        </w:rPr>
        <w:t xml:space="preserve"> </w:t>
      </w:r>
      <w:r>
        <w:rPr>
          <w:b/>
          <w:i w:val="0"/>
        </w:rPr>
        <w:t>)</w:t>
      </w:r>
    </w:p>
    <w:p>
      <w:hyperlink r:id="rId83">
        <w:r>
          <w:rPr>
            <w:color w:val="176EA4"/>
          </w:rPr>
          <w:t>CDS hygrothermal laminate equations </w:t>
        </w:r>
      </w:hyperlink>
      <w:r>
        <w:t xml:space="preserve"> </w:t>
      </w:r>
    </w:p>
    <w:p>
      <w:pPr>
        <w:pStyle w:val="Caption"/>
      </w:pPr>
      <w:r>
        <w:rPr>
          <w:b/>
          <w:i w:val="0"/>
        </w:rPr>
        <w:t>L05</w:t>
      </w:r>
      <w:r>
        <w:rPr>
          <w:b w:val="0"/>
          <w:i w:val="0"/>
        </w:rPr>
        <w:t xml:space="preserve"> </w:t>
      </w:r>
      <w:r>
        <w:rPr>
          <w:b w:val="0"/>
          <w:i w:val="0"/>
        </w:rPr>
        <w:t xml:space="preserve"> </w:t>
      </w:r>
      <w:r>
        <w:rPr>
          <w:b w:val="0"/>
          <w:i w:val="0"/>
        </w:rPr>
        <w:t>Thermal-curvature comparison</w:t>
      </w:r>
      <w:r>
        <w:t xml:space="preserve"> </w:t>
      </w:r>
      <w:r>
        <w:rPr>
          <w:b w:val="0"/>
          <w:i w:val="0"/>
        </w:rPr>
        <w:t>Illustrated example · not a live run</w:t>
      </w:r>
      <w:r>
        <w:t xml:space="preserve"> </w:t>
      </w:r>
    </w:p>
    <w:p>
      <w:r>
        <w:t>Ply properties</w:t>
      </w:r>
    </w:p>
    <w:p>
      <w:r>
        <w:t>Laminates</w:t>
      </w:r>
    </w:p>
    <w:p>
      <w:r>
        <w:t>Response</w:t>
      </w:r>
    </w:p>
    <w:p>
      <w:pPr>
        <w:pStyle w:val="Heading3"/>
      </w:pPr>
      <w:r>
        <w:t>1 Inputs</w:t>
      </w:r>
    </w:p>
    <w:p>
      <w:pPr>
        <w:keepNext/>
      </w:pPr>
      <w:r>
        <w:rPr>
          <w:b w:val="0"/>
          <w:i w:val="0"/>
        </w:rPr>
        <w:t>01</w:t>
      </w:r>
    </w:p>
    <w:p>
      <w:pPr/>
      <w:r>
        <w:rPr>
          <w:b w:val="0"/>
          <w:i w:val="0"/>
        </w:rPr>
        <w:t>ΔT 80 K</w:t>
      </w:r>
    </w:p>
    <w:p>
      <w:pPr>
        <w:keepNext/>
      </w:pPr>
      <w:r>
        <w:rPr>
          <w:b w:val="0"/>
          <w:i w:val="0"/>
        </w:rPr>
        <w:t>02</w:t>
      </w:r>
    </w:p>
    <w:p>
      <w:pPr/>
      <w:r>
        <w:rPr>
          <w:b w:val="0"/>
          <w:i w:val="0"/>
        </w:rPr>
        <w:t>symmetric, mildly unsymmetric, and strongly unsymmetric stacks</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22" name="Picture 22" descr="CDS workflow or model illustration"/>
            <wp:cNvGraphicFramePr>
              <a:graphicFrameLocks noChangeAspect="1"/>
            </wp:cNvGraphicFramePr>
            <a:graphic>
              <a:graphicData uri="http://schemas.openxmlformats.org/drawingml/2006/picture">
                <pic:pic>
                  <pic:nvPicPr>
                    <pic:cNvPr id="0" name="rsvg-6c15ed91e79880464f86bfc545af942125f28f2dd41ccc84fd4edc0c7f8f850d.png"/>
                    <pic:cNvPicPr/>
                  </pic:nvPicPr>
                  <pic:blipFill>
                    <a:blip r:embed="rId85"/>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symmetric laminate remains flat while increasing unsymmetry raises normalized thermal curvature to 0.42.</w:t>
      </w:r>
    </w:p>
    <w:p>
      <w:r>
        <w:rPr>
          <w:b/>
          <w:i w:val="0"/>
        </w:rPr>
        <w:t>Result basis</w:t>
      </w:r>
      <w:r>
        <w:t xml:space="preserve"> </w:t>
      </w:r>
      <w:r>
        <w:rPr>
          <w:b w:val="0"/>
          <w:i w:val="0"/>
        </w:rPr>
        <w:t>CDS r15 hygrothermal CLT solve</w:t>
      </w:r>
      <w:r>
        <w:rPr>
          <w:b w:val="0"/>
          <w:i w:val="0"/>
        </w:rPr>
        <w:t xml:space="preserve"> </w:t>
      </w:r>
      <w:r>
        <w:rPr>
          <w:b w:val="0"/>
          <w:i w:val="0"/>
        </w:rPr>
        <w:t>. Values and trends reproduce this page’s example; this is not a fresh solver result or an additional validation claim.</w:t>
      </w:r>
    </w:p>
    <w:p>
      <w:r>
        <w:rPr>
          <w:b w:val="0"/>
          <w:i w:val="0"/>
        </w:rPr>
        <w:t>L06</w:t>
      </w:r>
      <w:r>
        <w:t xml:space="preserve"> </w:t>
      </w:r>
      <w:r>
        <w:rPr>
          <w:b w:val="0"/>
          <w:i w:val="0"/>
        </w:rPr>
        <w:t>CDS r15 through-thickness recovery</w:t>
      </w:r>
      <w:r>
        <w:t xml:space="preserve"> </w:t>
      </w:r>
    </w:p>
    <w:p>
      <w:pPr>
        <w:pStyle w:val="Heading3"/>
      </w:pPr>
      <w:r>
        <w:t>Ply stress recovery by orientation</w:t>
      </w:r>
    </w:p>
    <w:p>
      <w:pPr/>
      <w:r>
        <w:rPr>
          <w:b w:val="0"/>
          <w:i w:val="0"/>
        </w:rPr>
        <w:t>Recover local material-axis stresses through a quasi-isotropic stack under a common axial membrane load.</w:t>
      </w:r>
    </w:p>
    <w:p>
      <w:pPr>
        <w:keepNext/>
      </w:pPr>
      <w:r>
        <w:rPr>
          <w:b/>
          <w:i w:val="0"/>
        </w:rPr>
        <w:t>Sources and theory (</w:t>
      </w:r>
      <w:r>
        <w:rPr>
          <w:b/>
          <w:i w:val="0"/>
        </w:rPr>
        <w:t xml:space="preserve"> </w:t>
      </w:r>
      <w:r>
        <w:rPr>
          <w:b/>
          <w:i w:val="0"/>
        </w:rPr>
        <w:t>1</w:t>
      </w:r>
      <w:r>
        <w:rPr>
          <w:b/>
          <w:i w:val="0"/>
        </w:rPr>
        <w:t xml:space="preserve"> </w:t>
      </w:r>
      <w:r>
        <w:rPr>
          <w:b/>
          <w:i w:val="0"/>
        </w:rPr>
        <w:t>)</w:t>
      </w:r>
    </w:p>
    <w:p>
      <w:hyperlink r:id="rId83">
        <w:r>
          <w:rPr>
            <w:color w:val="176EA4"/>
          </w:rPr>
          <w:t>CDS laminate stress recovery equations </w:t>
        </w:r>
      </w:hyperlink>
      <w:r>
        <w:t xml:space="preserve"> </w:t>
      </w:r>
    </w:p>
    <w:p>
      <w:pPr>
        <w:pStyle w:val="Caption"/>
      </w:pPr>
      <w:r>
        <w:rPr>
          <w:b/>
          <w:i w:val="0"/>
        </w:rPr>
        <w:t>L06</w:t>
      </w:r>
      <w:r>
        <w:rPr>
          <w:b w:val="0"/>
          <w:i w:val="0"/>
        </w:rPr>
        <w:t xml:space="preserve"> </w:t>
      </w:r>
      <w:r>
        <w:rPr>
          <w:b w:val="0"/>
          <w:i w:val="0"/>
        </w:rPr>
        <w:t xml:space="preserve"> </w:t>
      </w:r>
      <w:r>
        <w:rPr>
          <w:b w:val="0"/>
          <w:i w:val="0"/>
        </w:rPr>
        <w:t>Ply stress recovery by orientation</w:t>
      </w:r>
      <w:r>
        <w:t xml:space="preserve"> </w:t>
      </w:r>
      <w:r>
        <w:rPr>
          <w:b w:val="0"/>
          <w:i w:val="0"/>
        </w:rPr>
        <w:t>Illustrated example · not a live run</w:t>
      </w:r>
      <w:r>
        <w:t xml:space="preserve"> </w:t>
      </w:r>
    </w:p>
    <w:p>
      <w:r>
        <w:t>Ply properties</w:t>
      </w:r>
    </w:p>
    <w:p>
      <w:r>
        <w:t>Laminates</w:t>
      </w:r>
    </w:p>
    <w:p>
      <w:r>
        <w:t>Response</w:t>
      </w:r>
    </w:p>
    <w:p>
      <w:pPr>
        <w:pStyle w:val="Heading3"/>
      </w:pPr>
      <w:r>
        <w:t>1 Inputs</w:t>
      </w:r>
    </w:p>
    <w:p>
      <w:pPr>
        <w:keepNext/>
      </w:pPr>
      <w:r>
        <w:rPr>
          <w:b w:val="0"/>
          <w:i w:val="0"/>
        </w:rPr>
        <w:t>01</w:t>
      </w:r>
    </w:p>
    <w:p>
      <w:pPr/>
      <w:r>
        <w:rPr>
          <w:b w:val="0"/>
          <w:i w:val="0"/>
        </w:rPr>
        <w:t>[0/45/−45/90]s</w:t>
      </w:r>
    </w:p>
    <w:p>
      <w:pPr>
        <w:keepNext/>
      </w:pPr>
      <w:r>
        <w:rPr>
          <w:b w:val="0"/>
          <w:i w:val="0"/>
        </w:rPr>
        <w:t>02</w:t>
      </w:r>
    </w:p>
    <w:p>
      <w:pPr/>
      <w:r>
        <w:rPr>
          <w:b w:val="0"/>
          <w:i w:val="0"/>
        </w:rPr>
        <w:t>Nx 300 N/mm</w:t>
      </w:r>
    </w:p>
    <w:p>
      <w:pPr>
        <w:keepNext/>
      </w:pPr>
      <w:r>
        <w:rPr>
          <w:b w:val="0"/>
          <w:i w:val="0"/>
        </w:rPr>
        <w:t>03</w:t>
      </w:r>
    </w:p>
    <w:p>
      <w:pPr/>
      <w:r>
        <w:rPr>
          <w:b w:val="0"/>
          <w:i w:val="0"/>
        </w:rPr>
        <w:t>T300/5208</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23" name="Picture 23" descr="CDS workflow or model illustration"/>
            <wp:cNvGraphicFramePr>
              <a:graphicFrameLocks noChangeAspect="1"/>
            </wp:cNvGraphicFramePr>
            <a:graphic>
              <a:graphicData uri="http://schemas.openxmlformats.org/drawingml/2006/picture">
                <pic:pic>
                  <pic:nvPicPr>
                    <pic:cNvPr id="0" name="rsvg-4b0efdcd38a404514ef59315884c46c133ef9cd0de1dcf0d2d6270c0be174bbf.png"/>
                    <pic:cNvPicPr/>
                  </pic:nvPicPr>
                  <pic:blipFill>
                    <a:blip r:embed="rId86"/>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0° plies carry the largest local longitudinal stress while the 90° ply response remains transverse-dominated.</w:t>
      </w:r>
    </w:p>
    <w:p>
      <w:r>
        <w:rPr>
          <w:b/>
          <w:i w:val="0"/>
        </w:rPr>
        <w:t>Result basis</w:t>
      </w:r>
      <w:r>
        <w:t xml:space="preserve"> </w:t>
      </w:r>
      <w:r>
        <w:rPr>
          <w:b w:val="0"/>
          <w:i w:val="0"/>
        </w:rPr>
        <w:t>CDS r15 through-thickness recovery</w:t>
      </w:r>
      <w:r>
        <w:rPr>
          <w:b w:val="0"/>
          <w:i w:val="0"/>
        </w:rPr>
        <w:t xml:space="preserve"> </w:t>
      </w:r>
      <w:r>
        <w:rPr>
          <w:b w:val="0"/>
          <w:i w:val="0"/>
        </w:rPr>
        <w:t>. Values and trends reproduce this page’s example; this is not a fresh solver result or an additional validation claim.</w:t>
      </w:r>
    </w:p>
    <w:p>
      <w:r>
        <w:rPr>
          <w:b w:val="0"/>
          <w:i w:val="0"/>
        </w:rPr>
        <w:t>L07</w:t>
      </w:r>
      <w:r>
        <w:t xml:space="preserve"> </w:t>
      </w:r>
      <w:r>
        <w:rPr>
          <w:b w:val="0"/>
          <w:i w:val="0"/>
        </w:rPr>
        <w:t>CDS r15 progressive same-load loop</w:t>
      </w:r>
      <w:r>
        <w:t xml:space="preserve"> </w:t>
      </w:r>
    </w:p>
    <w:p>
      <w:pPr>
        <w:pStyle w:val="Heading3"/>
      </w:pPr>
      <w:r>
        <w:t>Progressive damage load path</w:t>
      </w:r>
    </w:p>
    <w:p>
      <w:pPr/>
      <w:r>
        <w:rPr>
          <w:b w:val="0"/>
          <w:i w:val="0"/>
        </w:rPr>
        <w:t>Increase membrane load through the same-load progressive solver and track the governing failure index before and after initiation.</w:t>
      </w:r>
    </w:p>
    <w:p>
      <w:pPr>
        <w:keepNext/>
      </w:pPr>
      <w:r>
        <w:rPr>
          <w:b/>
          <w:i w:val="0"/>
        </w:rPr>
        <w:t>Sources and theory (</w:t>
      </w:r>
      <w:r>
        <w:rPr>
          <w:b/>
          <w:i w:val="0"/>
        </w:rPr>
        <w:t xml:space="preserve"> </w:t>
      </w:r>
      <w:r>
        <w:rPr>
          <w:b/>
          <w:i w:val="0"/>
        </w:rPr>
        <w:t>1</w:t>
      </w:r>
      <w:r>
        <w:rPr>
          <w:b/>
          <w:i w:val="0"/>
        </w:rPr>
        <w:t xml:space="preserve"> </w:t>
      </w:r>
      <w:r>
        <w:rPr>
          <w:b/>
          <w:i w:val="0"/>
        </w:rPr>
        <w:t>)</w:t>
      </w:r>
    </w:p>
    <w:p>
      <w:hyperlink r:id="rId87">
        <w:r>
          <w:rPr>
            <w:color w:val="176EA4"/>
          </w:rPr>
          <w:t>CDS progressive update algorithm </w:t>
        </w:r>
      </w:hyperlink>
      <w:r>
        <w:t xml:space="preserve"> </w:t>
      </w:r>
    </w:p>
    <w:p>
      <w:pPr>
        <w:pStyle w:val="Caption"/>
      </w:pPr>
      <w:r>
        <w:rPr>
          <w:b/>
          <w:i w:val="0"/>
        </w:rPr>
        <w:t>L07</w:t>
      </w:r>
      <w:r>
        <w:rPr>
          <w:b w:val="0"/>
          <w:i w:val="0"/>
        </w:rPr>
        <w:t xml:space="preserve"> </w:t>
      </w:r>
      <w:r>
        <w:rPr>
          <w:b w:val="0"/>
          <w:i w:val="0"/>
        </w:rPr>
        <w:t xml:space="preserve"> </w:t>
      </w:r>
      <w:r>
        <w:rPr>
          <w:b w:val="0"/>
          <w:i w:val="0"/>
        </w:rPr>
        <w:t>Progressive damage load path</w:t>
      </w:r>
      <w:r>
        <w:t xml:space="preserve"> </w:t>
      </w:r>
      <w:r>
        <w:rPr>
          <w:b w:val="0"/>
          <w:i w:val="0"/>
        </w:rPr>
        <w:t>Illustrated example · not a live run</w:t>
      </w:r>
      <w:r>
        <w:t xml:space="preserve"> </w:t>
      </w:r>
    </w:p>
    <w:p>
      <w:r>
        <w:t>Ply properties</w:t>
      </w:r>
    </w:p>
    <w:p>
      <w:r>
        <w:t>Laminates</w:t>
      </w:r>
    </w:p>
    <w:p>
      <w:r>
        <w:t>Response</w:t>
      </w:r>
    </w:p>
    <w:p>
      <w:pPr>
        <w:pStyle w:val="Heading3"/>
      </w:pPr>
      <w:r>
        <w:t>1 Inputs</w:t>
      </w:r>
    </w:p>
    <w:p>
      <w:pPr>
        <w:keepNext/>
      </w:pPr>
      <w:r>
        <w:rPr>
          <w:b w:val="0"/>
          <w:i w:val="0"/>
        </w:rPr>
        <w:t>01</w:t>
      </w:r>
    </w:p>
    <w:p>
      <w:pPr/>
      <w:r>
        <w:rPr>
          <w:b w:val="0"/>
          <w:i w:val="0"/>
        </w:rPr>
        <w:t>QI-8</w:t>
      </w:r>
    </w:p>
    <w:p>
      <w:pPr>
        <w:keepNext/>
      </w:pPr>
      <w:r>
        <w:rPr>
          <w:b w:val="0"/>
          <w:i w:val="0"/>
        </w:rPr>
        <w:t>02</w:t>
      </w:r>
    </w:p>
    <w:p>
      <w:pPr/>
      <w:r>
        <w:rPr>
          <w:b w:val="0"/>
          <w:i w:val="0"/>
        </w:rPr>
        <w:t>normalized load 0.25–1.25</w:t>
      </w:r>
    </w:p>
    <w:p>
      <w:pPr>
        <w:keepNext/>
      </w:pPr>
      <w:r>
        <w:rPr>
          <w:b w:val="0"/>
          <w:i w:val="0"/>
        </w:rPr>
        <w:t>03</w:t>
      </w:r>
    </w:p>
    <w:p>
      <w:pPr/>
      <w:r>
        <w:rPr>
          <w:b w:val="0"/>
          <w:i w:val="0"/>
        </w:rPr>
        <w:t>Tsai–Wu with stiffness degradation</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24" name="Picture 24" descr="CDS workflow or model illustration"/>
            <wp:cNvGraphicFramePr>
              <a:graphicFrameLocks noChangeAspect="1"/>
            </wp:cNvGraphicFramePr>
            <a:graphic>
              <a:graphicData uri="http://schemas.openxmlformats.org/drawingml/2006/picture">
                <pic:pic>
                  <pic:nvPicPr>
                    <pic:cNvPr id="0" name="rsvg-7d0da9fcf0fa2f2b9ea0b9391fb1d7f64c70d91bd760600d7f536dd8709c7b65.png"/>
                    <pic:cNvPicPr/>
                  </pic:nvPicPr>
                  <pic:blipFill>
                    <a:blip r:embed="rId88"/>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governing index reaches 0.94 near the reference load and crosses unity at the next increment.</w:t>
      </w:r>
    </w:p>
    <w:p>
      <w:r>
        <w:rPr>
          <w:b/>
          <w:i w:val="0"/>
        </w:rPr>
        <w:t>Result basis</w:t>
      </w:r>
      <w:r>
        <w:t xml:space="preserve"> </w:t>
      </w:r>
      <w:r>
        <w:rPr>
          <w:b w:val="0"/>
          <w:i w:val="0"/>
        </w:rPr>
        <w:t>CDS r15 progressive same-load loop</w:t>
      </w:r>
      <w:r>
        <w:rPr>
          <w:b w:val="0"/>
          <w:i w:val="0"/>
        </w:rPr>
        <w:t xml:space="preserve"> </w:t>
      </w:r>
      <w:r>
        <w:rPr>
          <w:b w:val="0"/>
          <w:i w:val="0"/>
        </w:rPr>
        <w:t>. Values and trends reproduce this page’s example; this is not a fresh solver result or an additional validation claim.</w:t>
      </w:r>
    </w:p>
    <w:p>
      <w:r>
        <w:rPr>
          <w:b w:val="0"/>
          <w:i w:val="0"/>
        </w:rPr>
        <w:t>L08</w:t>
      </w:r>
      <w:r>
        <w:t xml:space="preserve"> </w:t>
      </w:r>
      <w:r>
        <w:rPr>
          <w:b w:val="0"/>
          <w:i w:val="0"/>
        </w:rPr>
        <w:t>CDS r15 effective-property assembly</w:t>
      </w:r>
      <w:r>
        <w:t xml:space="preserve"> </w:t>
      </w:r>
    </w:p>
    <w:p>
      <w:pPr>
        <w:pStyle w:val="Heading3"/>
      </w:pPr>
      <w:r>
        <w:t>Laminate transport-property assembly</w:t>
      </w:r>
    </w:p>
    <w:p>
      <w:pPr/>
      <w:r>
        <w:rPr>
          <w:b w:val="0"/>
          <w:i w:val="0"/>
        </w:rPr>
        <w:t>Combine ply-level conductivity and density into reusable laminate properties for process and structural analyses.</w:t>
      </w:r>
    </w:p>
    <w:p>
      <w:pPr>
        <w:keepNext/>
      </w:pPr>
      <w:r>
        <w:rPr>
          <w:b/>
          <w:i w:val="0"/>
        </w:rPr>
        <w:t>Sources and theory (</w:t>
      </w:r>
      <w:r>
        <w:rPr>
          <w:b/>
          <w:i w:val="0"/>
        </w:rPr>
        <w:t xml:space="preserve"> </w:t>
      </w:r>
      <w:r>
        <w:rPr>
          <w:b/>
          <w:i w:val="0"/>
        </w:rPr>
        <w:t>1</w:t>
      </w:r>
      <w:r>
        <w:rPr>
          <w:b/>
          <w:i w:val="0"/>
        </w:rPr>
        <w:t xml:space="preserve"> </w:t>
      </w:r>
      <w:r>
        <w:rPr>
          <w:b/>
          <w:i w:val="0"/>
        </w:rPr>
        <w:t>)</w:t>
      </w:r>
    </w:p>
    <w:p>
      <w:hyperlink r:id="rId89">
        <w:r>
          <w:rPr>
            <w:color w:val="176EA4"/>
          </w:rPr>
          <w:t>CDS effective laminate properties </w:t>
        </w:r>
      </w:hyperlink>
      <w:r>
        <w:t xml:space="preserve"> </w:t>
      </w:r>
    </w:p>
    <w:p>
      <w:pPr>
        <w:pStyle w:val="Caption"/>
      </w:pPr>
      <w:r>
        <w:rPr>
          <w:b/>
          <w:i w:val="0"/>
        </w:rPr>
        <w:t>L08</w:t>
      </w:r>
      <w:r>
        <w:rPr>
          <w:b w:val="0"/>
          <w:i w:val="0"/>
        </w:rPr>
        <w:t xml:space="preserve"> </w:t>
      </w:r>
      <w:r>
        <w:rPr>
          <w:b w:val="0"/>
          <w:i w:val="0"/>
        </w:rPr>
        <w:t xml:space="preserve"> </w:t>
      </w:r>
      <w:r>
        <w:rPr>
          <w:b w:val="0"/>
          <w:i w:val="0"/>
        </w:rPr>
        <w:t>Laminate transport-property assembly</w:t>
      </w:r>
      <w:r>
        <w:t xml:space="preserve"> </w:t>
      </w:r>
      <w:r>
        <w:rPr>
          <w:b w:val="0"/>
          <w:i w:val="0"/>
        </w:rPr>
        <w:t>Illustrated example · not a live run</w:t>
      </w:r>
      <w:r>
        <w:t xml:space="preserve"> </w:t>
      </w:r>
    </w:p>
    <w:p>
      <w:r>
        <w:t>Ply properties</w:t>
      </w:r>
    </w:p>
    <w:p>
      <w:r>
        <w:t>Laminates</w:t>
      </w:r>
    </w:p>
    <w:p>
      <w:r>
        <w:t>Response</w:t>
      </w:r>
    </w:p>
    <w:p>
      <w:pPr>
        <w:pStyle w:val="Heading3"/>
      </w:pPr>
      <w:r>
        <w:t>1 Inputs</w:t>
      </w:r>
    </w:p>
    <w:p>
      <w:pPr>
        <w:keepNext/>
      </w:pPr>
      <w:r>
        <w:rPr>
          <w:b w:val="0"/>
          <w:i w:val="0"/>
        </w:rPr>
        <w:t>01</w:t>
      </w:r>
    </w:p>
    <w:p>
      <w:pPr/>
      <w:r>
        <w:rPr>
          <w:b w:val="0"/>
          <w:i w:val="0"/>
        </w:rPr>
        <w:t>UD, quasi-isotropic, and cross-ply stacks</w:t>
      </w:r>
    </w:p>
    <w:p>
      <w:pPr>
        <w:keepNext/>
      </w:pPr>
      <w:r>
        <w:rPr>
          <w:b w:val="0"/>
          <w:i w:val="0"/>
        </w:rPr>
        <w:t>02</w:t>
      </w:r>
    </w:p>
    <w:p>
      <w:pPr/>
      <w:r>
        <w:rPr>
          <w:b w:val="0"/>
          <w:i w:val="0"/>
        </w:rPr>
        <w:t>identical constituents and thickness</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25" name="Picture 25" descr="CDS workflow or model illustration"/>
            <wp:cNvGraphicFramePr>
              <a:graphicFrameLocks noChangeAspect="1"/>
            </wp:cNvGraphicFramePr>
            <a:graphic>
              <a:graphicData uri="http://schemas.openxmlformats.org/drawingml/2006/picture">
                <pic:pic>
                  <pic:nvPicPr>
                    <pic:cNvPr id="0" name="rsvg-c5509741b1f998467140735990dc15e2a1e8ce8b14774190940214e5abaf8b36.png"/>
                    <pic:cNvPicPr/>
                  </pic:nvPicPr>
                  <pic:blipFill>
                    <a:blip r:embed="rId90"/>
                    <a:stretch>
                      <a:fillRect/>
                    </a:stretch>
                  </pic:blipFill>
                  <pic:spPr>
                    <a:xfrm>
                      <a:off x="0" y="0"/>
                      <a:ext cx="6217920" cy="2914650"/>
                    </a:xfrm>
                    <a:prstGeom prst="rect"/>
                  </pic:spPr>
                </pic:pic>
              </a:graphicData>
            </a:graphic>
          </wp:inline>
        </w:drawing>
      </w:r>
    </w:p>
    <w:p>
      <w:pPr>
        <w:keepNext/>
      </w:pPr>
      <w:r>
        <w:t>What the result shows</w:t>
      </w:r>
    </w:p>
    <w:p>
      <w:pPr/>
      <w:r>
        <w:rPr>
          <w:b w:val="0"/>
          <w:i w:val="0"/>
        </w:rPr>
        <w:t>Orientation changes the effective through-thickness transport response while the constituent-derived mass basis remains consistent.</w:t>
      </w:r>
    </w:p>
    <w:p>
      <w:r>
        <w:rPr>
          <w:b/>
          <w:i w:val="0"/>
        </w:rPr>
        <w:t>Result basis</w:t>
      </w:r>
      <w:r>
        <w:t xml:space="preserve"> </w:t>
      </w:r>
      <w:r>
        <w:rPr>
          <w:b w:val="0"/>
          <w:i w:val="0"/>
        </w:rPr>
        <w:t>CDS r15 effective-property assembly</w:t>
      </w:r>
      <w:r>
        <w:rPr>
          <w:b w:val="0"/>
          <w:i w:val="0"/>
        </w:rPr>
        <w:t xml:space="preserve"> </w:t>
      </w:r>
      <w:r>
        <w:rPr>
          <w:b w:val="0"/>
          <w:i w:val="0"/>
        </w:rPr>
        <w:t>. Values and trends reproduce this page’s example; this is not a fresh solver result or an additional validation claim.</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9" w:name="chapter_9"/>
      <w:pPr>
        <w:pStyle w:val="Heading1"/>
        <w:pageBreakBefore/>
      </w:pPr>
      <w:r>
        <w:t>9 Micromechanics Solver-visible results</w:t>
      </w:r>
      <w:bookmarkEnd w:id="9"/>
    </w:p>
    <w:p>
      <w:pPr>
        <w:pStyle w:val="Caption"/>
      </w:pPr>
      <w:hyperlink r:id="rId91">
        <w:r>
          <w:rPr>
            <w:color w:val="176EA4"/>
          </w:rPr>
          <w:t>Online chapter</w:t>
        </w:r>
      </w:hyperlink>
      <w:r>
        <w:t xml:space="preserve"> </w:t>
      </w:r>
    </w:p>
    <w:p>
      <w:pPr/>
      <w:r>
        <w:rPr>
          <w:b w:val="0"/>
          <w:i w:val="0"/>
        </w:rPr>
        <w:t>Translate constituent, fiber-form, and published lamina data into solver-ready engineering properties.</w:t>
      </w:r>
      <w:r>
        <w:rPr>
          <w:b w:val="0"/>
          <w:i w:val="0"/>
        </w:rPr>
        <w:t xml:space="preserve"> </w:t>
      </w:r>
      <w:r>
        <w:rPr>
          <w:b w:val="0"/>
          <w:i w:val="0"/>
        </w:rPr>
        <w:t xml:space="preserve"> Every case identifies its inputs, calculated readout, provenance, and primary technical sources.</w:t>
      </w:r>
    </w:p>
    <w:p>
      <w:pPr/>
      <w:r>
        <w:rPr>
          <w:b/>
          <w:i w:val="0"/>
        </w:rPr>
        <w:t>Traceable by design.</w:t>
      </w:r>
      <w:r>
        <w:rPr>
          <w:b w:val="0"/>
          <w:i w:val="0"/>
        </w:rPr>
        <w:t xml:space="preserve"> Published values are transcribed from linked primary sources. CDS plots are calculated or reconstructed from the stated inputs and are clearly labeled.</w:t>
      </w:r>
    </w:p>
    <w:p>
      <w:pPr/>
      <w:r>
        <w:rPr>
          <w:b w:val="0"/>
          <w:i w:val="0"/>
        </w:rPr>
        <w:t>Example class</w:t>
      </w:r>
    </w:p>
    <w:p>
      <w:pPr>
        <w:pStyle w:val="Heading2"/>
      </w:pPr>
      <w:r>
        <w:t>Micromechanics</w:t>
      </w:r>
    </w:p>
    <w:p>
      <w:pPr/>
      <w:r>
        <w:rPr>
          <w:b w:val="0"/>
          <w:i w:val="0"/>
        </w:rPr>
        <w:t>Translate constituent, fiber-form, and published lamina data into solver-ready engineering properties.</w:t>
      </w:r>
    </w:p>
    <w:p>
      <w:r>
        <w:rPr>
          <w:b w:val="0"/>
          <w:i w:val="0"/>
        </w:rPr>
        <w:t>M01</w:t>
      </w:r>
      <w:r>
        <w:t xml:space="preserve"> </w:t>
      </w:r>
      <w:r>
        <w:rPr>
          <w:b w:val="0"/>
          <w:i w:val="0"/>
        </w:rPr>
        <w:t>Published material data</w:t>
      </w:r>
      <w:r>
        <w:t xml:space="preserve"> </w:t>
      </w:r>
    </w:p>
    <w:p>
      <w:pPr>
        <w:pStyle w:val="Heading3"/>
      </w:pPr>
      <w:r>
        <w:t>T300/5208 orthotropic property baseline</w:t>
      </w:r>
    </w:p>
    <w:p>
      <w:pPr/>
      <w:r>
        <w:rPr>
          <w:b w:val="0"/>
          <w:i w:val="0"/>
        </w:rPr>
        <w:t>Load a published carbon/epoxy lamina dataset and inspect the stiffness contrast that drives every downstream laminate calculation.</w:t>
      </w:r>
    </w:p>
    <w:p>
      <w:pPr>
        <w:keepNext/>
      </w:pPr>
      <w:r>
        <w:rPr>
          <w:b/>
          <w:i w:val="0"/>
        </w:rPr>
        <w:t>Sources and theory (</w:t>
      </w:r>
      <w:r>
        <w:rPr>
          <w:b/>
          <w:i w:val="0"/>
        </w:rPr>
        <w:t xml:space="preserve"> </w:t>
      </w:r>
      <w:r>
        <w:rPr>
          <w:b/>
          <w:i w:val="0"/>
        </w:rPr>
        <w:t>1</w:t>
      </w:r>
      <w:r>
        <w:rPr>
          <w:b/>
          <w:i w:val="0"/>
        </w:rPr>
        <w:t xml:space="preserve"> </w:t>
      </w:r>
      <w:r>
        <w:rPr>
          <w:b/>
          <w:i w:val="0"/>
        </w:rPr>
        <w:t>)</w:t>
      </w:r>
    </w:p>
    <w:p>
      <w:hyperlink r:id="rId67">
        <w:r>
          <w:rPr>
            <w:color w:val="176EA4"/>
          </w:rPr>
          <w:t>Hu et al. (2015), T300/5208 property table </w:t>
        </w:r>
      </w:hyperlink>
      <w:r>
        <w:t xml:space="preserve"> </w:t>
      </w:r>
    </w:p>
    <w:p>
      <w:pPr>
        <w:pStyle w:val="Caption"/>
      </w:pPr>
      <w:r>
        <w:rPr>
          <w:b/>
          <w:i w:val="0"/>
        </w:rPr>
        <w:t>M01</w:t>
      </w:r>
      <w:r>
        <w:rPr>
          <w:b w:val="0"/>
          <w:i w:val="0"/>
        </w:rPr>
        <w:t xml:space="preserve"> </w:t>
      </w:r>
      <w:r>
        <w:rPr>
          <w:b w:val="0"/>
          <w:i w:val="0"/>
        </w:rPr>
        <w:t xml:space="preserve"> </w:t>
      </w:r>
      <w:r>
        <w:rPr>
          <w:b w:val="0"/>
          <w:i w:val="0"/>
        </w:rPr>
        <w:t>T300/5208 orthotropic property baseline</w:t>
      </w:r>
      <w:r>
        <w:t xml:space="preserve"> </w:t>
      </w:r>
      <w:r>
        <w:rPr>
          <w:b w:val="0"/>
          <w:i w:val="0"/>
        </w:rPr>
        <w:t>Illustrated example · not a live run</w:t>
      </w:r>
      <w:r>
        <w:t xml:space="preserve"> </w:t>
      </w:r>
    </w:p>
    <w:p>
      <w:r>
        <w:t>Materials</w:t>
      </w:r>
    </w:p>
    <w:p>
      <w:r>
        <w:t>Micro</w:t>
      </w:r>
    </w:p>
    <w:p>
      <w:r>
        <w:t>Properties</w:t>
      </w:r>
    </w:p>
    <w:p>
      <w:pPr>
        <w:pStyle w:val="Heading3"/>
      </w:pPr>
      <w:r>
        <w:t>1 Inputs</w:t>
      </w:r>
    </w:p>
    <w:p>
      <w:pPr>
        <w:keepNext/>
      </w:pPr>
      <w:r>
        <w:rPr>
          <w:b w:val="0"/>
          <w:i w:val="0"/>
        </w:rPr>
        <w:t>01</w:t>
      </w:r>
    </w:p>
    <w:p>
      <w:pPr/>
      <w:r>
        <w:rPr>
          <w:b w:val="0"/>
          <w:i w:val="0"/>
        </w:rPr>
        <w:t>E1 181 GPa</w:t>
      </w:r>
    </w:p>
    <w:p>
      <w:pPr>
        <w:keepNext/>
      </w:pPr>
      <w:r>
        <w:rPr>
          <w:b w:val="0"/>
          <w:i w:val="0"/>
        </w:rPr>
        <w:t>02</w:t>
      </w:r>
    </w:p>
    <w:p>
      <w:pPr/>
      <w:r>
        <w:rPr>
          <w:b w:val="0"/>
          <w:i w:val="0"/>
        </w:rPr>
        <w:t>E2 10.3 GPa</w:t>
      </w:r>
    </w:p>
    <w:p>
      <w:pPr>
        <w:keepNext/>
      </w:pPr>
      <w:r>
        <w:rPr>
          <w:b w:val="0"/>
          <w:i w:val="0"/>
        </w:rPr>
        <w:t>03</w:t>
      </w:r>
    </w:p>
    <w:p>
      <w:pPr/>
      <w:r>
        <w:rPr>
          <w:b w:val="0"/>
          <w:i w:val="0"/>
        </w:rPr>
        <w:t>G12 7.17 GPa</w:t>
      </w:r>
    </w:p>
    <w:p>
      <w:pPr>
        <w:keepNext/>
      </w:pPr>
      <w:r>
        <w:rPr>
          <w:b w:val="0"/>
          <w:i w:val="0"/>
        </w:rPr>
        <w:t>04</w:t>
      </w:r>
    </w:p>
    <w:p>
      <w:pPr/>
      <w:r>
        <w:rPr>
          <w:b w:val="0"/>
          <w:i w:val="0"/>
        </w:rPr>
        <w:t>G23 3.78 GPa</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26" name="Picture 26" descr="CDS workflow or model illustration"/>
            <wp:cNvGraphicFramePr>
              <a:graphicFrameLocks noChangeAspect="1"/>
            </wp:cNvGraphicFramePr>
            <a:graphic>
              <a:graphicData uri="http://schemas.openxmlformats.org/drawingml/2006/picture">
                <pic:pic>
                  <pic:nvPicPr>
                    <pic:cNvPr id="0" name="rsvg-c69e89059a1ee6b25b6bffe51bb767c4412ee2ed56bf04df4d3e925eace6e88d.png"/>
                    <pic:cNvPicPr/>
                  </pic:nvPicPr>
                  <pic:blipFill>
                    <a:blip r:embed="rId92"/>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longitudinal modulus is 17.6× E2, making orientation the dominant design variable.</w:t>
      </w:r>
    </w:p>
    <w:p>
      <w:r>
        <w:rPr>
          <w:b/>
          <w:i w:val="0"/>
        </w:rPr>
        <w:t>Result basis</w:t>
      </w:r>
      <w:r>
        <w:t xml:space="preserve"> </w:t>
      </w:r>
      <w:r>
        <w:rPr>
          <w:b w:val="0"/>
          <w:i w:val="0"/>
        </w:rPr>
        <w:t>Published material data</w:t>
      </w:r>
      <w:r>
        <w:rPr>
          <w:b w:val="0"/>
          <w:i w:val="0"/>
        </w:rPr>
        <w:t xml:space="preserve"> </w:t>
      </w:r>
      <w:r>
        <w:rPr>
          <w:b w:val="0"/>
          <w:i w:val="0"/>
        </w:rPr>
        <w:t>. Values and trends reproduce this page’s example; this is not a fresh solver result or an additional validation claim.</w:t>
      </w:r>
    </w:p>
    <w:p>
      <w:r>
        <w:rPr>
          <w:b w:val="0"/>
          <w:i w:val="0"/>
        </w:rPr>
        <w:t>M02</w:t>
      </w:r>
      <w:r>
        <w:t xml:space="preserve"> </w:t>
      </w:r>
      <w:r>
        <w:rPr>
          <w:b w:val="0"/>
          <w:i w:val="0"/>
        </w:rPr>
        <w:t>Published inputs · CDS comparison</w:t>
      </w:r>
      <w:r>
        <w:t xml:space="preserve"> </w:t>
      </w:r>
    </w:p>
    <w:p>
      <w:pPr>
        <w:pStyle w:val="Heading3"/>
      </w:pPr>
      <w:r>
        <w:t>T300/5208 strength-allowable map</w:t>
      </w:r>
    </w:p>
    <w:p>
      <w:pPr/>
      <w:r>
        <w:rPr>
          <w:b w:val="0"/>
          <w:i w:val="0"/>
        </w:rPr>
        <w:t>Route tension, compression, and in-plane shear allowables into the failure-criterion block without hiding material-axis asymmetry.</w:t>
      </w:r>
    </w:p>
    <w:p>
      <w:pPr>
        <w:keepNext/>
      </w:pPr>
      <w:r>
        <w:rPr>
          <w:b/>
          <w:i w:val="0"/>
        </w:rPr>
        <w:t>Sources and theory (</w:t>
      </w:r>
      <w:r>
        <w:rPr>
          <w:b/>
          <w:i w:val="0"/>
        </w:rPr>
        <w:t xml:space="preserve"> </w:t>
      </w:r>
      <w:r>
        <w:rPr>
          <w:b/>
          <w:i w:val="0"/>
        </w:rPr>
        <w:t>1</w:t>
      </w:r>
      <w:r>
        <w:rPr>
          <w:b/>
          <w:i w:val="0"/>
        </w:rPr>
        <w:t xml:space="preserve"> </w:t>
      </w:r>
      <w:r>
        <w:rPr>
          <w:b/>
          <w:i w:val="0"/>
        </w:rPr>
        <w:t>)</w:t>
      </w:r>
    </w:p>
    <w:p>
      <w:hyperlink r:id="rId67">
        <w:r>
          <w:rPr>
            <w:color w:val="176EA4"/>
          </w:rPr>
          <w:t>Hu et al. (2015), T300/5208 property table </w:t>
        </w:r>
      </w:hyperlink>
      <w:r>
        <w:t xml:space="preserve"> </w:t>
      </w:r>
    </w:p>
    <w:p>
      <w:pPr>
        <w:pStyle w:val="Caption"/>
      </w:pPr>
      <w:r>
        <w:rPr>
          <w:b/>
          <w:i w:val="0"/>
        </w:rPr>
        <w:t>M02</w:t>
      </w:r>
      <w:r>
        <w:rPr>
          <w:b w:val="0"/>
          <w:i w:val="0"/>
        </w:rPr>
        <w:t xml:space="preserve"> </w:t>
      </w:r>
      <w:r>
        <w:rPr>
          <w:b w:val="0"/>
          <w:i w:val="0"/>
        </w:rPr>
        <w:t xml:space="preserve"> </w:t>
      </w:r>
      <w:r>
        <w:rPr>
          <w:b w:val="0"/>
          <w:i w:val="0"/>
        </w:rPr>
        <w:t>T300/5208 strength-allowable map</w:t>
      </w:r>
      <w:r>
        <w:t xml:space="preserve"> </w:t>
      </w:r>
      <w:r>
        <w:rPr>
          <w:b w:val="0"/>
          <w:i w:val="0"/>
        </w:rPr>
        <w:t>Illustrated example · not a live run</w:t>
      </w:r>
      <w:r>
        <w:t xml:space="preserve"> </w:t>
      </w:r>
    </w:p>
    <w:p>
      <w:r>
        <w:t>Materials</w:t>
      </w:r>
    </w:p>
    <w:p>
      <w:r>
        <w:t>Micro</w:t>
      </w:r>
    </w:p>
    <w:p>
      <w:r>
        <w:t>Properties</w:t>
      </w:r>
    </w:p>
    <w:p>
      <w:pPr>
        <w:pStyle w:val="Heading3"/>
      </w:pPr>
      <w:r>
        <w:t>1 Inputs</w:t>
      </w:r>
    </w:p>
    <w:p>
      <w:pPr>
        <w:keepNext/>
      </w:pPr>
      <w:r>
        <w:rPr>
          <w:b w:val="0"/>
          <w:i w:val="0"/>
        </w:rPr>
        <w:t>01</w:t>
      </w:r>
    </w:p>
    <w:p>
      <w:pPr/>
      <w:r>
        <w:rPr>
          <w:b w:val="0"/>
          <w:i w:val="0"/>
        </w:rPr>
        <w:t>Xt/Xc 1500 MPa</w:t>
      </w:r>
    </w:p>
    <w:p>
      <w:pPr>
        <w:keepNext/>
      </w:pPr>
      <w:r>
        <w:rPr>
          <w:b w:val="0"/>
          <w:i w:val="0"/>
        </w:rPr>
        <w:t>02</w:t>
      </w:r>
    </w:p>
    <w:p>
      <w:pPr/>
      <w:r>
        <w:rPr>
          <w:b w:val="0"/>
          <w:i w:val="0"/>
        </w:rPr>
        <w:t>Yt 40 MPa</w:t>
      </w:r>
    </w:p>
    <w:p>
      <w:pPr>
        <w:keepNext/>
      </w:pPr>
      <w:r>
        <w:rPr>
          <w:b w:val="0"/>
          <w:i w:val="0"/>
        </w:rPr>
        <w:t>03</w:t>
      </w:r>
    </w:p>
    <w:p>
      <w:pPr/>
      <w:r>
        <w:rPr>
          <w:b w:val="0"/>
          <w:i w:val="0"/>
        </w:rPr>
        <w:t>Yc 246 MPa</w:t>
      </w:r>
    </w:p>
    <w:p>
      <w:pPr>
        <w:keepNext/>
      </w:pPr>
      <w:r>
        <w:rPr>
          <w:b w:val="0"/>
          <w:i w:val="0"/>
        </w:rPr>
        <w:t>04</w:t>
      </w:r>
    </w:p>
    <w:p>
      <w:pPr/>
      <w:r>
        <w:rPr>
          <w:b w:val="0"/>
          <w:i w:val="0"/>
        </w:rPr>
        <w:t>S12 68 MPa</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27" name="Picture 27" descr="CDS workflow or model illustration"/>
            <wp:cNvGraphicFramePr>
              <a:graphicFrameLocks noChangeAspect="1"/>
            </wp:cNvGraphicFramePr>
            <a:graphic>
              <a:graphicData uri="http://schemas.openxmlformats.org/drawingml/2006/picture">
                <pic:pic>
                  <pic:nvPicPr>
                    <pic:cNvPr id="0" name="rsvg-c60cd8df54512ba9757ab304a3d46f0022e97a987468f043af8b2565aeccd401.png"/>
                    <pic:cNvPicPr/>
                  </pic:nvPicPr>
                  <pic:blipFill>
                    <a:blip r:embed="rId93"/>
                    <a:stretch>
                      <a:fillRect/>
                    </a:stretch>
                  </pic:blipFill>
                  <pic:spPr>
                    <a:xfrm>
                      <a:off x="0" y="0"/>
                      <a:ext cx="6217920" cy="2914650"/>
                    </a:xfrm>
                    <a:prstGeom prst="rect"/>
                  </pic:spPr>
                </pic:pic>
              </a:graphicData>
            </a:graphic>
          </wp:inline>
        </w:drawing>
      </w:r>
    </w:p>
    <w:p>
      <w:pPr>
        <w:keepNext/>
      </w:pPr>
      <w:r>
        <w:t>What the result shows</w:t>
      </w:r>
    </w:p>
    <w:p>
      <w:pPr/>
      <w:r>
        <w:rPr>
          <w:b w:val="0"/>
          <w:i w:val="0"/>
        </w:rPr>
        <w:t>Transverse tensile strength is the controlling allowable at only 2.7% of Xt.</w:t>
      </w:r>
    </w:p>
    <w:p>
      <w:r>
        <w:rPr>
          <w:b/>
          <w:i w:val="0"/>
        </w:rPr>
        <w:t>Result basis</w:t>
      </w:r>
      <w:r>
        <w:t xml:space="preserve"> </w:t>
      </w:r>
      <w:r>
        <w:rPr>
          <w:b w:val="0"/>
          <w:i w:val="0"/>
        </w:rPr>
        <w:t>Published inputs · CDS comparison</w:t>
      </w:r>
      <w:r>
        <w:rPr>
          <w:b w:val="0"/>
          <w:i w:val="0"/>
        </w:rPr>
        <w:t xml:space="preserve"> </w:t>
      </w:r>
      <w:r>
        <w:rPr>
          <w:b w:val="0"/>
          <w:i w:val="0"/>
        </w:rPr>
        <w:t>. Values and trends reproduce this page’s example; this is not a fresh solver result or an additional validation claim.</w:t>
      </w:r>
    </w:p>
    <w:p>
      <w:r>
        <w:rPr>
          <w:b w:val="0"/>
          <w:i w:val="0"/>
        </w:rPr>
        <w:t>M03</w:t>
      </w:r>
      <w:r>
        <w:t xml:space="preserve"> </w:t>
      </w:r>
      <w:r>
        <w:rPr>
          <w:b w:val="0"/>
          <w:i w:val="0"/>
        </w:rPr>
        <w:t>Reported performance thresholds</w:t>
      </w:r>
      <w:r>
        <w:t xml:space="preserve"> </w:t>
      </w:r>
    </w:p>
    <w:p>
      <w:pPr>
        <w:pStyle w:val="Heading3"/>
      </w:pPr>
      <w:r>
        <w:t>Aligned discontinuous TuFF translation</w:t>
      </w:r>
    </w:p>
    <w:p>
      <w:pPr/>
      <w:r>
        <w:rPr>
          <w:b w:val="0"/>
          <w:i w:val="0"/>
        </w:rPr>
        <w:t>Represent a highly aligned short-fiber material as a micromechanics case instead of treating discontinuous reinforcement as automatically low performance.</w:t>
      </w:r>
    </w:p>
    <w:p>
      <w:pPr>
        <w:keepNext/>
      </w:pPr>
      <w:r>
        <w:rPr>
          <w:b/>
          <w:i w:val="0"/>
        </w:rPr>
        <w:t>Sources and theory (</w:t>
      </w:r>
      <w:r>
        <w:rPr>
          <w:b/>
          <w:i w:val="0"/>
        </w:rPr>
        <w:t xml:space="preserve"> </w:t>
      </w:r>
      <w:r>
        <w:rPr>
          <w:b/>
          <w:i w:val="0"/>
        </w:rPr>
        <w:t>2</w:t>
      </w:r>
      <w:r>
        <w:rPr>
          <w:b/>
          <w:i w:val="0"/>
        </w:rPr>
        <w:t xml:space="preserve"> </w:t>
      </w:r>
      <w:r>
        <w:rPr>
          <w:b/>
          <w:i w:val="0"/>
        </w:rPr>
        <w:t>)</w:t>
      </w:r>
    </w:p>
    <w:p>
      <w:hyperlink r:id="rId94">
        <w:r>
          <w:rPr>
            <w:color w:val="176EA4"/>
          </w:rPr>
          <w:t>TuFF aligned-fiber composite patent </w:t>
        </w:r>
      </w:hyperlink>
      <w:r>
        <w:t xml:space="preserve"> </w:t>
      </w:r>
    </w:p>
    <w:p>
      <w:hyperlink r:id="rId95">
        <w:r>
          <w:rPr>
            <w:color w:val="176EA4"/>
          </w:rPr>
          <w:t>Heider et al. (2019), TuFF microstructure </w:t>
        </w:r>
      </w:hyperlink>
      <w:r>
        <w:t xml:space="preserve"> </w:t>
      </w:r>
    </w:p>
    <w:p>
      <w:pPr>
        <w:pStyle w:val="Caption"/>
      </w:pPr>
      <w:r>
        <w:rPr>
          <w:b/>
          <w:i w:val="0"/>
        </w:rPr>
        <w:t>M03</w:t>
      </w:r>
      <w:r>
        <w:rPr>
          <w:b w:val="0"/>
          <w:i w:val="0"/>
        </w:rPr>
        <w:t xml:space="preserve"> </w:t>
      </w:r>
      <w:r>
        <w:rPr>
          <w:b w:val="0"/>
          <w:i w:val="0"/>
        </w:rPr>
        <w:t xml:space="preserve"> </w:t>
      </w:r>
      <w:r>
        <w:rPr>
          <w:b w:val="0"/>
          <w:i w:val="0"/>
        </w:rPr>
        <w:t>Aligned discontinuous TuFF translation</w:t>
      </w:r>
      <w:r>
        <w:t xml:space="preserve"> </w:t>
      </w:r>
      <w:r>
        <w:rPr>
          <w:b w:val="0"/>
          <w:i w:val="0"/>
        </w:rPr>
        <w:t>Illustrated example · not a live run</w:t>
      </w:r>
      <w:r>
        <w:t xml:space="preserve"> </w:t>
      </w:r>
    </w:p>
    <w:p>
      <w:r>
        <w:t>Materials</w:t>
      </w:r>
    </w:p>
    <w:p>
      <w:r>
        <w:t>Micro</w:t>
      </w:r>
    </w:p>
    <w:p>
      <w:r>
        <w:t>Properties</w:t>
      </w:r>
    </w:p>
    <w:p>
      <w:pPr>
        <w:pStyle w:val="Heading3"/>
      </w:pPr>
      <w:r>
        <w:t>1 Inputs</w:t>
      </w:r>
    </w:p>
    <w:p>
      <w:pPr>
        <w:keepNext/>
      </w:pPr>
      <w:r>
        <w:rPr>
          <w:b w:val="0"/>
          <w:i w:val="0"/>
        </w:rPr>
        <w:t>01</w:t>
      </w:r>
    </w:p>
    <w:p>
      <w:pPr/>
      <w:r>
        <w:rPr>
          <w:b w:val="0"/>
          <w:i w:val="0"/>
        </w:rPr>
        <w:t>IM7/PEI</w:t>
      </w:r>
    </w:p>
    <w:p>
      <w:pPr>
        <w:keepNext/>
      </w:pPr>
      <w:r>
        <w:rPr>
          <w:b w:val="0"/>
          <w:i w:val="0"/>
        </w:rPr>
        <w:t>02</w:t>
      </w:r>
    </w:p>
    <w:p>
      <w:pPr/>
      <w:r>
        <w:rPr>
          <w:b w:val="0"/>
          <w:i w:val="0"/>
        </w:rPr>
        <w:t>3 mm fiber</w:t>
      </w:r>
    </w:p>
    <w:p>
      <w:pPr>
        <w:keepNext/>
      </w:pPr>
      <w:r>
        <w:rPr>
          <w:b w:val="0"/>
          <w:i w:val="0"/>
        </w:rPr>
        <w:t>03</w:t>
      </w:r>
    </w:p>
    <w:p>
      <w:pPr/>
      <w:r>
        <w:rPr>
          <w:b w:val="0"/>
          <w:i w:val="0"/>
        </w:rPr>
        <w:t>≥50% fiber volume</w:t>
      </w:r>
    </w:p>
    <w:p>
      <w:pPr>
        <w:keepNext/>
      </w:pPr>
      <w:r>
        <w:rPr>
          <w:b w:val="0"/>
          <w:i w:val="0"/>
        </w:rPr>
        <w:t>04</w:t>
      </w:r>
    </w:p>
    <w:p>
      <w:pPr/>
      <w:r>
        <w:rPr>
          <w:b w:val="0"/>
          <w:i w:val="0"/>
        </w:rPr>
        <w:t>controlled alignment</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28" name="Picture 28" descr="CDS workflow or model illustration"/>
            <wp:cNvGraphicFramePr>
              <a:graphicFrameLocks noChangeAspect="1"/>
            </wp:cNvGraphicFramePr>
            <a:graphic>
              <a:graphicData uri="http://schemas.openxmlformats.org/drawingml/2006/picture">
                <pic:pic>
                  <pic:nvPicPr>
                    <pic:cNvPr id="0" name="rsvg-63356b1dfd7673b97c4aa9c2de10cbee6db826a45ca9aef62d8ec9b974e9d187.png"/>
                    <pic:cNvPicPr/>
                  </pic:nvPicPr>
                  <pic:blipFill>
                    <a:blip r:embed="rId96"/>
                    <a:stretch>
                      <a:fillRect/>
                    </a:stretch>
                  </pic:blipFill>
                  <pic:spPr>
                    <a:xfrm>
                      <a:off x="0" y="0"/>
                      <a:ext cx="6217920" cy="2914650"/>
                    </a:xfrm>
                    <a:prstGeom prst="rect"/>
                  </pic:spPr>
                </pic:pic>
              </a:graphicData>
            </a:graphic>
          </wp:inline>
        </w:drawing>
      </w:r>
    </w:p>
    <w:p>
      <w:pPr>
        <w:keepNext/>
      </w:pPr>
      <w:r>
        <w:t>What the result shows</w:t>
      </w:r>
    </w:p>
    <w:p>
      <w:pPr/>
      <w:r>
        <w:rPr>
          <w:b w:val="0"/>
          <w:i w:val="0"/>
        </w:rPr>
        <w:t>Reported thresholds exceed 138 GPa modulus and 2.07 GPa longitudinal strength.</w:t>
      </w:r>
    </w:p>
    <w:p>
      <w:r>
        <w:rPr>
          <w:b/>
          <w:i w:val="0"/>
        </w:rPr>
        <w:t>Result basis</w:t>
      </w:r>
      <w:r>
        <w:t xml:space="preserve"> </w:t>
      </w:r>
      <w:r>
        <w:rPr>
          <w:b w:val="0"/>
          <w:i w:val="0"/>
        </w:rPr>
        <w:t>Reported performance thresholds</w:t>
      </w:r>
      <w:r>
        <w:rPr>
          <w:b w:val="0"/>
          <w:i w:val="0"/>
        </w:rPr>
        <w:t xml:space="preserve"> </w:t>
      </w:r>
      <w:r>
        <w:rPr>
          <w:b w:val="0"/>
          <w:i w:val="0"/>
        </w:rPr>
        <w:t>. Values and trends reproduce this page’s example; this is not a fresh solver result or an additional validation claim.</w:t>
      </w:r>
    </w:p>
    <w:p>
      <w:r>
        <w:rPr>
          <w:b w:val="0"/>
          <w:i w:val="0"/>
        </w:rPr>
        <w:t>M04</w:t>
      </w:r>
      <w:r>
        <w:t xml:space="preserve"> </w:t>
      </w:r>
      <w:r>
        <w:rPr>
          <w:b w:val="0"/>
          <w:i w:val="0"/>
        </w:rPr>
        <w:t>CDS parametric reproduction</w:t>
      </w:r>
      <w:r>
        <w:t xml:space="preserve"> </w:t>
      </w:r>
    </w:p>
    <w:p>
      <w:pPr>
        <w:pStyle w:val="Heading3"/>
      </w:pPr>
      <w:r>
        <w:t>Fiber-length efficiency sweep</w:t>
      </w:r>
    </w:p>
    <w:p>
      <w:pPr/>
      <w:r>
        <w:rPr>
          <w:b w:val="0"/>
          <w:i w:val="0"/>
        </w:rPr>
        <w:t>Use the Cox shear-lag relation to see how load-transfer efficiency changes when an aligned discontinuous architecture moves from sub-millimeter to multi-millimeter fibers.</w:t>
      </w:r>
    </w:p>
    <w:p>
      <w:pPr>
        <w:keepNext/>
      </w:pPr>
      <w:r>
        <w:rPr>
          <w:b/>
          <w:i w:val="0"/>
        </w:rPr>
        <w:t>Sources and theory (</w:t>
      </w:r>
      <w:r>
        <w:rPr>
          <w:b/>
          <w:i w:val="0"/>
        </w:rPr>
        <w:t xml:space="preserve"> </w:t>
      </w:r>
      <w:r>
        <w:rPr>
          <w:b/>
          <w:i w:val="0"/>
        </w:rPr>
        <w:t>2</w:t>
      </w:r>
      <w:r>
        <w:rPr>
          <w:b/>
          <w:i w:val="0"/>
        </w:rPr>
        <w:t xml:space="preserve"> </w:t>
      </w:r>
      <w:r>
        <w:rPr>
          <w:b/>
          <w:i w:val="0"/>
        </w:rPr>
        <w:t>)</w:t>
      </w:r>
    </w:p>
    <w:p>
      <w:hyperlink r:id="rId97">
        <w:r>
          <w:rPr>
            <w:color w:val="176EA4"/>
          </w:rPr>
          <w:t>Cox (1952), shear-lag formulation </w:t>
        </w:r>
      </w:hyperlink>
      <w:r>
        <w:t xml:space="preserve"> </w:t>
      </w:r>
    </w:p>
    <w:p>
      <w:hyperlink r:id="rId98">
        <w:r>
          <w:rPr>
            <w:color w:val="176EA4"/>
          </w:rPr>
          <w:t>Yu et al. (2014), 3 mm HiPerDiF alignment data </w:t>
        </w:r>
      </w:hyperlink>
      <w:r>
        <w:t xml:space="preserve"> </w:t>
      </w:r>
    </w:p>
    <w:p>
      <w:pPr>
        <w:pStyle w:val="Caption"/>
      </w:pPr>
      <w:r>
        <w:rPr>
          <w:b/>
          <w:i w:val="0"/>
        </w:rPr>
        <w:t>M04</w:t>
      </w:r>
      <w:r>
        <w:rPr>
          <w:b w:val="0"/>
          <w:i w:val="0"/>
        </w:rPr>
        <w:t xml:space="preserve"> </w:t>
      </w:r>
      <w:r>
        <w:rPr>
          <w:b w:val="0"/>
          <w:i w:val="0"/>
        </w:rPr>
        <w:t xml:space="preserve"> </w:t>
      </w:r>
      <w:r>
        <w:rPr>
          <w:b w:val="0"/>
          <w:i w:val="0"/>
        </w:rPr>
        <w:t>Fiber-length efficiency sweep</w:t>
      </w:r>
      <w:r>
        <w:t xml:space="preserve"> </w:t>
      </w:r>
      <w:r>
        <w:rPr>
          <w:b w:val="0"/>
          <w:i w:val="0"/>
        </w:rPr>
        <w:t>Illustrated example · not a live run</w:t>
      </w:r>
      <w:r>
        <w:t xml:space="preserve"> </w:t>
      </w:r>
    </w:p>
    <w:p>
      <w:r>
        <w:t>Materials</w:t>
      </w:r>
    </w:p>
    <w:p>
      <w:r>
        <w:t>Micro</w:t>
      </w:r>
    </w:p>
    <w:p>
      <w:r>
        <w:t>Properties</w:t>
      </w:r>
    </w:p>
    <w:p>
      <w:pPr>
        <w:pStyle w:val="Heading3"/>
      </w:pPr>
      <w:r>
        <w:t>1 Inputs</w:t>
      </w:r>
    </w:p>
    <w:p>
      <w:pPr>
        <w:keepNext/>
      </w:pPr>
      <w:r>
        <w:rPr>
          <w:b w:val="0"/>
          <w:i w:val="0"/>
        </w:rPr>
        <w:t>01</w:t>
      </w:r>
    </w:p>
    <w:p>
      <w:pPr/>
      <w:r>
        <w:rPr>
          <w:b w:val="0"/>
          <w:i w:val="0"/>
        </w:rPr>
        <w:t>0.5–6 mm length sweep</w:t>
      </w:r>
    </w:p>
    <w:p>
      <w:pPr>
        <w:keepNext/>
      </w:pPr>
      <w:r>
        <w:rPr>
          <w:b w:val="0"/>
          <w:i w:val="0"/>
        </w:rPr>
        <w:t>02</w:t>
      </w:r>
    </w:p>
    <w:p>
      <w:pPr/>
      <w:r>
        <w:rPr>
          <w:b w:val="0"/>
          <w:i w:val="0"/>
        </w:rPr>
        <w:t>β = 1.6 mm⁻¹</w:t>
      </w:r>
    </w:p>
    <w:p>
      <w:pPr>
        <w:keepNext/>
      </w:pPr>
      <w:r>
        <w:rPr>
          <w:b w:val="0"/>
          <w:i w:val="0"/>
        </w:rPr>
        <w:t>03</w:t>
      </w:r>
    </w:p>
    <w:p>
      <w:pPr/>
      <w:r>
        <w:rPr>
          <w:b w:val="0"/>
          <w:i w:val="0"/>
        </w:rPr>
        <w:t>aligned-fiber case</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29" name="Picture 29" descr="CDS workflow or model illustration"/>
            <wp:cNvGraphicFramePr>
              <a:graphicFrameLocks noChangeAspect="1"/>
            </wp:cNvGraphicFramePr>
            <a:graphic>
              <a:graphicData uri="http://schemas.openxmlformats.org/drawingml/2006/picture">
                <pic:pic>
                  <pic:nvPicPr>
                    <pic:cNvPr id="0" name="rsvg-10e698f529a03f8e5731a59707726fe2719a2ca24cbee2a0591c237b93f91764.png"/>
                    <pic:cNvPicPr/>
                  </pic:nvPicPr>
                  <pic:blipFill>
                    <a:blip r:embed="rId99"/>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CDS parametric curve increases from ηL 0.05 at 0.5 mm to 0.79 at 6 mm.</w:t>
      </w:r>
    </w:p>
    <w:p>
      <w:r>
        <w:rPr>
          <w:b/>
          <w:i w:val="0"/>
        </w:rPr>
        <w:t>Result basis</w:t>
      </w:r>
      <w:r>
        <w:t xml:space="preserve"> </w:t>
      </w:r>
      <w:r>
        <w:rPr>
          <w:b w:val="0"/>
          <w:i w:val="0"/>
        </w:rPr>
        <w:t>CDS parametric reproduction</w:t>
      </w:r>
      <w:r>
        <w:rPr>
          <w:b w:val="0"/>
          <w:i w:val="0"/>
        </w:rPr>
        <w:t xml:space="preserve"> </w:t>
      </w:r>
      <w:r>
        <w:rPr>
          <w:b w:val="0"/>
          <w:i w:val="0"/>
        </w:rPr>
        <w:t>. Values and trends reproduce this page’s example; this is not a fresh solver result or an additional validation claim.</w:t>
      </w:r>
    </w:p>
    <w:p>
      <w:r>
        <w:rPr>
          <w:b w:val="0"/>
          <w:i w:val="0"/>
        </w:rPr>
        <w:t>M05</w:t>
      </w:r>
      <w:r>
        <w:t xml:space="preserve"> </w:t>
      </w:r>
      <w:r>
        <w:rPr>
          <w:b w:val="0"/>
          <w:i w:val="0"/>
        </w:rPr>
        <w:t>CDS r15 micromechanics sweep</w:t>
      </w:r>
      <w:r>
        <w:t xml:space="preserve"> </w:t>
      </w:r>
    </w:p>
    <w:p>
      <w:pPr>
        <w:pStyle w:val="Heading3"/>
      </w:pPr>
      <w:r>
        <w:t>Fiber-volume stiffness sweep</w:t>
      </w:r>
    </w:p>
    <w:p>
      <w:pPr/>
      <w:r>
        <w:rPr>
          <w:b w:val="0"/>
          <w:i w:val="0"/>
        </w:rPr>
        <w:t>Run the continuous-fiber property route while increasing fiber volume fraction and retaining the same carbon-fiber and epoxy records.</w:t>
      </w:r>
    </w:p>
    <w:p>
      <w:pPr>
        <w:keepNext/>
      </w:pPr>
      <w:r>
        <w:rPr>
          <w:b/>
          <w:i w:val="0"/>
        </w:rPr>
        <w:t>Sources and theory (</w:t>
      </w:r>
      <w:r>
        <w:rPr>
          <w:b/>
          <w:i w:val="0"/>
        </w:rPr>
        <w:t xml:space="preserve"> </w:t>
      </w:r>
      <w:r>
        <w:rPr>
          <w:b/>
          <w:i w:val="0"/>
        </w:rPr>
        <w:t>1</w:t>
      </w:r>
      <w:r>
        <w:rPr>
          <w:b/>
          <w:i w:val="0"/>
        </w:rPr>
        <w:t xml:space="preserve"> </w:t>
      </w:r>
      <w:r>
        <w:rPr>
          <w:b/>
          <w:i w:val="0"/>
        </w:rPr>
        <w:t>)</w:t>
      </w:r>
    </w:p>
    <w:p>
      <w:hyperlink r:id="rId100">
        <w:r>
          <w:rPr>
            <w:color w:val="176EA4"/>
          </w:rPr>
          <w:t>CDS elastic micromechanics implementation </w:t>
        </w:r>
      </w:hyperlink>
      <w:r>
        <w:t xml:space="preserve"> </w:t>
      </w:r>
    </w:p>
    <w:p>
      <w:pPr>
        <w:pStyle w:val="Caption"/>
      </w:pPr>
      <w:r>
        <w:rPr>
          <w:b/>
          <w:i w:val="0"/>
        </w:rPr>
        <w:t>M05</w:t>
      </w:r>
      <w:r>
        <w:rPr>
          <w:b w:val="0"/>
          <w:i w:val="0"/>
        </w:rPr>
        <w:t xml:space="preserve"> </w:t>
      </w:r>
      <w:r>
        <w:rPr>
          <w:b w:val="0"/>
          <w:i w:val="0"/>
        </w:rPr>
        <w:t xml:space="preserve"> </w:t>
      </w:r>
      <w:r>
        <w:rPr>
          <w:b w:val="0"/>
          <w:i w:val="0"/>
        </w:rPr>
        <w:t>Fiber-volume stiffness sweep</w:t>
      </w:r>
      <w:r>
        <w:t xml:space="preserve"> </w:t>
      </w:r>
      <w:r>
        <w:rPr>
          <w:b w:val="0"/>
          <w:i w:val="0"/>
        </w:rPr>
        <w:t>Illustrated example · not a live run</w:t>
      </w:r>
      <w:r>
        <w:t xml:space="preserve"> </w:t>
      </w:r>
    </w:p>
    <w:p>
      <w:r>
        <w:t>Materials</w:t>
      </w:r>
    </w:p>
    <w:p>
      <w:r>
        <w:t>Micro</w:t>
      </w:r>
    </w:p>
    <w:p>
      <w:r>
        <w:t>Properties</w:t>
      </w:r>
    </w:p>
    <w:p>
      <w:pPr>
        <w:pStyle w:val="Heading3"/>
      </w:pPr>
      <w:r>
        <w:t>1 Inputs</w:t>
      </w:r>
    </w:p>
    <w:p>
      <w:pPr>
        <w:keepNext/>
      </w:pPr>
      <w:r>
        <w:rPr>
          <w:b w:val="0"/>
          <w:i w:val="0"/>
        </w:rPr>
        <w:t>01</w:t>
      </w:r>
    </w:p>
    <w:p>
      <w:pPr/>
      <w:r>
        <w:rPr>
          <w:b w:val="0"/>
          <w:i w:val="0"/>
        </w:rPr>
        <w:t>Ef1 230 GPa</w:t>
      </w:r>
    </w:p>
    <w:p>
      <w:pPr>
        <w:keepNext/>
      </w:pPr>
      <w:r>
        <w:rPr>
          <w:b w:val="0"/>
          <w:i w:val="0"/>
        </w:rPr>
        <w:t>02</w:t>
      </w:r>
    </w:p>
    <w:p>
      <w:pPr/>
      <w:r>
        <w:rPr>
          <w:b w:val="0"/>
          <w:i w:val="0"/>
        </w:rPr>
        <w:t>Em 3.5 GPa</w:t>
      </w:r>
    </w:p>
    <w:p>
      <w:pPr>
        <w:keepNext/>
      </w:pPr>
      <w:r>
        <w:rPr>
          <w:b w:val="0"/>
          <w:i w:val="0"/>
        </w:rPr>
        <w:t>03</w:t>
      </w:r>
    </w:p>
    <w:p>
      <w:pPr/>
      <w:r>
        <w:rPr>
          <w:b w:val="0"/>
          <w:i w:val="0"/>
        </w:rPr>
        <w:t>Vf 0.35–0.65</w:t>
      </w:r>
    </w:p>
    <w:p>
      <w:pPr>
        <w:keepNext/>
      </w:pPr>
      <w:r>
        <w:rPr>
          <w:b w:val="0"/>
          <w:i w:val="0"/>
        </w:rPr>
        <w:t>04</w:t>
      </w:r>
    </w:p>
    <w:p>
      <w:pPr/>
      <w:r>
        <w:rPr>
          <w:b w:val="0"/>
          <w:i w:val="0"/>
        </w:rPr>
        <w:t>longitudinal ROM route</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30" name="Picture 30" descr="CDS workflow or model illustration"/>
            <wp:cNvGraphicFramePr>
              <a:graphicFrameLocks noChangeAspect="1"/>
            </wp:cNvGraphicFramePr>
            <a:graphic>
              <a:graphicData uri="http://schemas.openxmlformats.org/drawingml/2006/picture">
                <pic:pic>
                  <pic:nvPicPr>
                    <pic:cNvPr id="0" name="rsvg-ddd54c26e871b6a7c7081fe05952d3c130fb651b23026180bc614fed723480a7.png"/>
                    <pic:cNvPicPr/>
                  </pic:nvPicPr>
                  <pic:blipFill>
                    <a:blip r:embed="rId54"/>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solver increases E1 from 82.8 to 150.7 GPa across the selected fiber-volume range.</w:t>
      </w:r>
    </w:p>
    <w:p>
      <w:r>
        <w:rPr>
          <w:b/>
          <w:i w:val="0"/>
        </w:rPr>
        <w:t>Result basis</w:t>
      </w:r>
      <w:r>
        <w:t xml:space="preserve"> </w:t>
      </w:r>
      <w:r>
        <w:rPr>
          <w:b w:val="0"/>
          <w:i w:val="0"/>
        </w:rPr>
        <w:t>CDS r15 micromechanics sweep</w:t>
      </w:r>
      <w:r>
        <w:rPr>
          <w:b w:val="0"/>
          <w:i w:val="0"/>
        </w:rPr>
        <w:t xml:space="preserve"> </w:t>
      </w:r>
      <w:r>
        <w:rPr>
          <w:b w:val="0"/>
          <w:i w:val="0"/>
        </w:rPr>
        <w:t>. Values and trends reproduce this page’s example; this is not a fresh solver result or an additional validation claim.</w:t>
      </w:r>
    </w:p>
    <w:p>
      <w:r>
        <w:rPr>
          <w:b w:val="0"/>
          <w:i w:val="0"/>
        </w:rPr>
        <w:t>M06</w:t>
      </w:r>
      <w:r>
        <w:t xml:space="preserve"> </w:t>
      </w:r>
      <w:r>
        <w:rPr>
          <w:b w:val="0"/>
          <w:i w:val="0"/>
        </w:rPr>
        <w:t>CDS r15 constituent-compliance solve</w:t>
      </w:r>
      <w:r>
        <w:t xml:space="preserve"> </w:t>
      </w:r>
    </w:p>
    <w:p>
      <w:pPr>
        <w:pStyle w:val="Heading3"/>
      </w:pPr>
      <w:r>
        <w:t>Transverse modulus sensitivity</w:t>
      </w:r>
    </w:p>
    <w:p>
      <w:pPr/>
      <w:r>
        <w:rPr>
          <w:b w:val="0"/>
          <w:i w:val="0"/>
        </w:rPr>
        <w:t>Compare the weaker transverse load path as reinforcement content rises, using the solver's constituent compliance route.</w:t>
      </w:r>
    </w:p>
    <w:p>
      <w:pPr>
        <w:keepNext/>
      </w:pPr>
      <w:r>
        <w:rPr>
          <w:b/>
          <w:i w:val="0"/>
        </w:rPr>
        <w:t>Sources and theory (</w:t>
      </w:r>
      <w:r>
        <w:rPr>
          <w:b/>
          <w:i w:val="0"/>
        </w:rPr>
        <w:t xml:space="preserve"> </w:t>
      </w:r>
      <w:r>
        <w:rPr>
          <w:b/>
          <w:i w:val="0"/>
        </w:rPr>
        <w:t>1</w:t>
      </w:r>
      <w:r>
        <w:rPr>
          <w:b/>
          <w:i w:val="0"/>
        </w:rPr>
        <w:t xml:space="preserve"> </w:t>
      </w:r>
      <w:r>
        <w:rPr>
          <w:b/>
          <w:i w:val="0"/>
        </w:rPr>
        <w:t>)</w:t>
      </w:r>
    </w:p>
    <w:p>
      <w:hyperlink r:id="rId100">
        <w:r>
          <w:rPr>
            <w:color w:val="176EA4"/>
          </w:rPr>
          <w:t>CDS homogenization models </w:t>
        </w:r>
      </w:hyperlink>
      <w:r>
        <w:t xml:space="preserve"> </w:t>
      </w:r>
    </w:p>
    <w:p>
      <w:pPr>
        <w:pStyle w:val="Caption"/>
      </w:pPr>
      <w:r>
        <w:rPr>
          <w:b/>
          <w:i w:val="0"/>
        </w:rPr>
        <w:t>M06</w:t>
      </w:r>
      <w:r>
        <w:rPr>
          <w:b w:val="0"/>
          <w:i w:val="0"/>
        </w:rPr>
        <w:t xml:space="preserve"> </w:t>
      </w:r>
      <w:r>
        <w:rPr>
          <w:b w:val="0"/>
          <w:i w:val="0"/>
        </w:rPr>
        <w:t xml:space="preserve"> </w:t>
      </w:r>
      <w:r>
        <w:rPr>
          <w:b w:val="0"/>
          <w:i w:val="0"/>
        </w:rPr>
        <w:t>Transverse modulus sensitivity</w:t>
      </w:r>
      <w:r>
        <w:t xml:space="preserve"> </w:t>
      </w:r>
      <w:r>
        <w:rPr>
          <w:b w:val="0"/>
          <w:i w:val="0"/>
        </w:rPr>
        <w:t>Illustrated example · not a live run</w:t>
      </w:r>
      <w:r>
        <w:t xml:space="preserve"> </w:t>
      </w:r>
    </w:p>
    <w:p>
      <w:r>
        <w:t>Materials</w:t>
      </w:r>
    </w:p>
    <w:p>
      <w:r>
        <w:t>Micro</w:t>
      </w:r>
    </w:p>
    <w:p>
      <w:r>
        <w:t>Properties</w:t>
      </w:r>
    </w:p>
    <w:p>
      <w:pPr>
        <w:pStyle w:val="Heading3"/>
      </w:pPr>
      <w:r>
        <w:t>1 Inputs</w:t>
      </w:r>
    </w:p>
    <w:p>
      <w:pPr>
        <w:keepNext/>
      </w:pPr>
      <w:r>
        <w:rPr>
          <w:b w:val="0"/>
          <w:i w:val="0"/>
        </w:rPr>
        <w:t>01</w:t>
      </w:r>
    </w:p>
    <w:p>
      <w:pPr/>
      <w:r>
        <w:rPr>
          <w:b w:val="0"/>
          <w:i w:val="0"/>
        </w:rPr>
        <w:t>Ef2 15 GPa</w:t>
      </w:r>
    </w:p>
    <w:p>
      <w:pPr>
        <w:keepNext/>
      </w:pPr>
      <w:r>
        <w:rPr>
          <w:b w:val="0"/>
          <w:i w:val="0"/>
        </w:rPr>
        <w:t>02</w:t>
      </w:r>
    </w:p>
    <w:p>
      <w:pPr/>
      <w:r>
        <w:rPr>
          <w:b w:val="0"/>
          <w:i w:val="0"/>
        </w:rPr>
        <w:t>Em 3.5 GPa</w:t>
      </w:r>
    </w:p>
    <w:p>
      <w:pPr>
        <w:keepNext/>
      </w:pPr>
      <w:r>
        <w:rPr>
          <w:b w:val="0"/>
          <w:i w:val="0"/>
        </w:rPr>
        <w:t>03</w:t>
      </w:r>
    </w:p>
    <w:p>
      <w:pPr/>
      <w:r>
        <w:rPr>
          <w:b w:val="0"/>
          <w:i w:val="0"/>
        </w:rPr>
        <w:t>Vf 0.35–0.65</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31" name="Picture 31" descr="CDS workflow or model illustration"/>
            <wp:cNvGraphicFramePr>
              <a:graphicFrameLocks noChangeAspect="1"/>
            </wp:cNvGraphicFramePr>
            <a:graphic>
              <a:graphicData uri="http://schemas.openxmlformats.org/drawingml/2006/picture">
                <pic:pic>
                  <pic:nvPicPr>
                    <pic:cNvPr id="0" name="rsvg-e8eb3c37af0011bef6f9def4d3683204bc53fe4049eb42924e462ed0cc25c731.png"/>
                    <pic:cNvPicPr/>
                  </pic:nvPicPr>
                  <pic:blipFill>
                    <a:blip r:embed="rId101"/>
                    <a:stretch>
                      <a:fillRect/>
                    </a:stretch>
                  </pic:blipFill>
                  <pic:spPr>
                    <a:xfrm>
                      <a:off x="0" y="0"/>
                      <a:ext cx="6217920" cy="2914650"/>
                    </a:xfrm>
                    <a:prstGeom prst="rect"/>
                  </pic:spPr>
                </pic:pic>
              </a:graphicData>
            </a:graphic>
          </wp:inline>
        </w:drawing>
      </w:r>
    </w:p>
    <w:p>
      <w:pPr>
        <w:keepNext/>
      </w:pPr>
      <w:r>
        <w:t>What the result shows</w:t>
      </w:r>
    </w:p>
    <w:p>
      <w:pPr/>
      <w:r>
        <w:rPr>
          <w:b w:val="0"/>
          <w:i w:val="0"/>
        </w:rPr>
        <w:t>E2 increases from 4.62 to 6.82 GPa, far more slowly than E1 because matrix compliance remains dominant.</w:t>
      </w:r>
    </w:p>
    <w:p>
      <w:r>
        <w:rPr>
          <w:b/>
          <w:i w:val="0"/>
        </w:rPr>
        <w:t>Result basis</w:t>
      </w:r>
      <w:r>
        <w:t xml:space="preserve"> </w:t>
      </w:r>
      <w:r>
        <w:rPr>
          <w:b w:val="0"/>
          <w:i w:val="0"/>
        </w:rPr>
        <w:t>CDS r15 constituent-compliance solve</w:t>
      </w:r>
      <w:r>
        <w:rPr>
          <w:b w:val="0"/>
          <w:i w:val="0"/>
        </w:rPr>
        <w:t xml:space="preserve"> </w:t>
      </w:r>
      <w:r>
        <w:rPr>
          <w:b w:val="0"/>
          <w:i w:val="0"/>
        </w:rPr>
        <w:t>. Values and trends reproduce this page’s example; this is not a fresh solver result or an additional validation claim.</w:t>
      </w:r>
    </w:p>
    <w:p>
      <w:r>
        <w:rPr>
          <w:b w:val="0"/>
          <w:i w:val="0"/>
        </w:rPr>
        <w:t>M07</w:t>
      </w:r>
      <w:r>
        <w:t xml:space="preserve"> </w:t>
      </w:r>
      <w:r>
        <w:rPr>
          <w:b w:val="0"/>
          <w:i w:val="0"/>
        </w:rPr>
        <w:t>CDS r15 architecture modifier</w:t>
      </w:r>
      <w:r>
        <w:t xml:space="preserve"> </w:t>
      </w:r>
    </w:p>
    <w:p>
      <w:pPr>
        <w:pStyle w:val="Heading3"/>
      </w:pPr>
      <w:r>
        <w:t>Void-content stiffness knockdown</w:t>
      </w:r>
    </w:p>
    <w:p>
      <w:pPr/>
      <w:r>
        <w:rPr>
          <w:b w:val="0"/>
          <w:i w:val="0"/>
        </w:rPr>
        <w:t>Activate the void correction and quantify how manufacturing porosity reduces the resolved longitudinal ply modulus.</w:t>
      </w:r>
    </w:p>
    <w:p>
      <w:pPr>
        <w:keepNext/>
      </w:pPr>
      <w:r>
        <w:rPr>
          <w:b/>
          <w:i w:val="0"/>
        </w:rPr>
        <w:t>Sources and theory (</w:t>
      </w:r>
      <w:r>
        <w:rPr>
          <w:b/>
          <w:i w:val="0"/>
        </w:rPr>
        <w:t xml:space="preserve"> </w:t>
      </w:r>
      <w:r>
        <w:rPr>
          <w:b/>
          <w:i w:val="0"/>
        </w:rPr>
        <w:t>1</w:t>
      </w:r>
      <w:r>
        <w:rPr>
          <w:b/>
          <w:i w:val="0"/>
        </w:rPr>
        <w:t xml:space="preserve"> </w:t>
      </w:r>
      <w:r>
        <w:rPr>
          <w:b/>
          <w:i w:val="0"/>
        </w:rPr>
        <w:t>)</w:t>
      </w:r>
    </w:p>
    <w:p>
      <w:hyperlink r:id="rId102">
        <w:r>
          <w:rPr>
            <w:color w:val="176EA4"/>
          </w:rPr>
          <w:t>CDS void and defect corrections </w:t>
        </w:r>
      </w:hyperlink>
      <w:r>
        <w:t xml:space="preserve"> </w:t>
      </w:r>
    </w:p>
    <w:p>
      <w:pPr>
        <w:pStyle w:val="Caption"/>
      </w:pPr>
      <w:r>
        <w:rPr>
          <w:b/>
          <w:i w:val="0"/>
        </w:rPr>
        <w:t>M07</w:t>
      </w:r>
      <w:r>
        <w:rPr>
          <w:b w:val="0"/>
          <w:i w:val="0"/>
        </w:rPr>
        <w:t xml:space="preserve"> </w:t>
      </w:r>
      <w:r>
        <w:rPr>
          <w:b w:val="0"/>
          <w:i w:val="0"/>
        </w:rPr>
        <w:t xml:space="preserve"> </w:t>
      </w:r>
      <w:r>
        <w:rPr>
          <w:b w:val="0"/>
          <w:i w:val="0"/>
        </w:rPr>
        <w:t>Void-content stiffness knockdown</w:t>
      </w:r>
      <w:r>
        <w:t xml:space="preserve"> </w:t>
      </w:r>
      <w:r>
        <w:rPr>
          <w:b w:val="0"/>
          <w:i w:val="0"/>
        </w:rPr>
        <w:t>Illustrated example · not a live run</w:t>
      </w:r>
      <w:r>
        <w:t xml:space="preserve"> </w:t>
      </w:r>
    </w:p>
    <w:p>
      <w:r>
        <w:t>Materials</w:t>
      </w:r>
    </w:p>
    <w:p>
      <w:r>
        <w:t>Micro</w:t>
      </w:r>
    </w:p>
    <w:p>
      <w:r>
        <w:t>Properties</w:t>
      </w:r>
    </w:p>
    <w:p>
      <w:pPr>
        <w:pStyle w:val="Heading3"/>
      </w:pPr>
      <w:r>
        <w:t>1 Inputs</w:t>
      </w:r>
    </w:p>
    <w:p>
      <w:pPr>
        <w:keepNext/>
      </w:pPr>
      <w:r>
        <w:rPr>
          <w:b w:val="0"/>
          <w:i w:val="0"/>
        </w:rPr>
        <w:t>01</w:t>
      </w:r>
    </w:p>
    <w:p>
      <w:pPr/>
      <w:r>
        <w:rPr>
          <w:b w:val="0"/>
          <w:i w:val="0"/>
        </w:rPr>
        <w:t>Baseline E1 128.1 GPa</w:t>
      </w:r>
    </w:p>
    <w:p>
      <w:pPr>
        <w:keepNext/>
      </w:pPr>
      <w:r>
        <w:rPr>
          <w:b w:val="0"/>
          <w:i w:val="0"/>
        </w:rPr>
        <w:t>02</w:t>
      </w:r>
    </w:p>
    <w:p>
      <w:pPr/>
      <w:r>
        <w:rPr>
          <w:b w:val="0"/>
          <w:i w:val="0"/>
        </w:rPr>
        <w:t>void fraction 0–5%</w:t>
      </w:r>
    </w:p>
    <w:p>
      <w:pPr>
        <w:keepNext/>
      </w:pPr>
      <w:r>
        <w:rPr>
          <w:b w:val="0"/>
          <w:i w:val="0"/>
        </w:rPr>
        <w:t>03</w:t>
      </w:r>
    </w:p>
    <w:p>
      <w:pPr/>
      <w:r>
        <w:rPr>
          <w:b w:val="0"/>
          <w:i w:val="0"/>
        </w:rPr>
        <w:t>CDS void modifier</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32" name="Picture 32" descr="CDS workflow or model illustration"/>
            <wp:cNvGraphicFramePr>
              <a:graphicFrameLocks noChangeAspect="1"/>
            </wp:cNvGraphicFramePr>
            <a:graphic>
              <a:graphicData uri="http://schemas.openxmlformats.org/drawingml/2006/picture">
                <pic:pic>
                  <pic:nvPicPr>
                    <pic:cNvPr id="0" name="rsvg-7c394288842bfbfdfd053234ba69cdc640f11d2cc15ae32e93743315b9dafda8.png"/>
                    <pic:cNvPicPr/>
                  </pic:nvPicPr>
                  <pic:blipFill>
                    <a:blip r:embed="rId103"/>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example correction reduces E1 to 116.5 GPa at 5% void content.</w:t>
      </w:r>
    </w:p>
    <w:p>
      <w:r>
        <w:rPr>
          <w:b/>
          <w:i w:val="0"/>
        </w:rPr>
        <w:t>Result basis</w:t>
      </w:r>
      <w:r>
        <w:t xml:space="preserve"> </w:t>
      </w:r>
      <w:r>
        <w:rPr>
          <w:b w:val="0"/>
          <w:i w:val="0"/>
        </w:rPr>
        <w:t>CDS r15 architecture modifier</w:t>
      </w:r>
      <w:r>
        <w:rPr>
          <w:b w:val="0"/>
          <w:i w:val="0"/>
        </w:rPr>
        <w:t xml:space="preserve"> </w:t>
      </w:r>
      <w:r>
        <w:rPr>
          <w:b w:val="0"/>
          <w:i w:val="0"/>
        </w:rPr>
        <w:t>. Values and trends reproduce this page’s example; this is not a fresh solver result or an additional validation claim.</w:t>
      </w:r>
    </w:p>
    <w:p>
      <w:r>
        <w:rPr>
          <w:b w:val="0"/>
          <w:i w:val="0"/>
        </w:rPr>
        <w:t>M08</w:t>
      </w:r>
      <w:r>
        <w:t xml:space="preserve"> </w:t>
      </w:r>
      <w:r>
        <w:rPr>
          <w:b w:val="0"/>
          <w:i w:val="0"/>
        </w:rPr>
        <w:t>CDS r15 orientation-tensor route</w:t>
      </w:r>
      <w:r>
        <w:t xml:space="preserve"> </w:t>
      </w:r>
    </w:p>
    <w:p>
      <w:pPr>
        <w:pStyle w:val="Heading3"/>
      </w:pPr>
      <w:r>
        <w:t>Fiber-alignment efficiency</w:t>
      </w:r>
    </w:p>
    <w:p>
      <w:pPr/>
      <w:r>
        <w:rPr>
          <w:b w:val="0"/>
          <w:i w:val="0"/>
        </w:rPr>
        <w:t>Exercise the orientation correction with a controlled misalignment sweep for an otherwise identical aligned-fiber material.</w:t>
      </w:r>
    </w:p>
    <w:p>
      <w:pPr>
        <w:keepNext/>
      </w:pPr>
      <w:r>
        <w:rPr>
          <w:b/>
          <w:i w:val="0"/>
        </w:rPr>
        <w:t>Sources and theory (</w:t>
      </w:r>
      <w:r>
        <w:rPr>
          <w:b/>
          <w:i w:val="0"/>
        </w:rPr>
        <w:t xml:space="preserve"> </w:t>
      </w:r>
      <w:r>
        <w:rPr>
          <w:b/>
          <w:i w:val="0"/>
        </w:rPr>
        <w:t>1</w:t>
      </w:r>
      <w:r>
        <w:rPr>
          <w:b/>
          <w:i w:val="0"/>
        </w:rPr>
        <w:t xml:space="preserve"> </w:t>
      </w:r>
      <w:r>
        <w:rPr>
          <w:b/>
          <w:i w:val="0"/>
        </w:rPr>
        <w:t>)</w:t>
      </w:r>
    </w:p>
    <w:p>
      <w:hyperlink r:id="rId104">
        <w:r>
          <w:rPr>
            <w:color w:val="176EA4"/>
          </w:rPr>
          <w:t>CDS orientation and architecture theory </w:t>
        </w:r>
      </w:hyperlink>
      <w:r>
        <w:t xml:space="preserve"> </w:t>
      </w:r>
    </w:p>
    <w:p>
      <w:pPr>
        <w:pStyle w:val="Caption"/>
      </w:pPr>
      <w:r>
        <w:rPr>
          <w:b/>
          <w:i w:val="0"/>
        </w:rPr>
        <w:t>M08</w:t>
      </w:r>
      <w:r>
        <w:rPr>
          <w:b w:val="0"/>
          <w:i w:val="0"/>
        </w:rPr>
        <w:t xml:space="preserve"> </w:t>
      </w:r>
      <w:r>
        <w:rPr>
          <w:b w:val="0"/>
          <w:i w:val="0"/>
        </w:rPr>
        <w:t xml:space="preserve"> </w:t>
      </w:r>
      <w:r>
        <w:rPr>
          <w:b w:val="0"/>
          <w:i w:val="0"/>
        </w:rPr>
        <w:t>Fiber-alignment efficiency</w:t>
      </w:r>
      <w:r>
        <w:t xml:space="preserve"> </w:t>
      </w:r>
      <w:r>
        <w:rPr>
          <w:b w:val="0"/>
          <w:i w:val="0"/>
        </w:rPr>
        <w:t>Illustrated example · not a live run</w:t>
      </w:r>
      <w:r>
        <w:t xml:space="preserve"> </w:t>
      </w:r>
    </w:p>
    <w:p>
      <w:r>
        <w:t>Materials</w:t>
      </w:r>
    </w:p>
    <w:p>
      <w:r>
        <w:t>Micro</w:t>
      </w:r>
    </w:p>
    <w:p>
      <w:r>
        <w:t>Properties</w:t>
      </w:r>
    </w:p>
    <w:p>
      <w:pPr>
        <w:pStyle w:val="Heading3"/>
      </w:pPr>
      <w:r>
        <w:t>1 Inputs</w:t>
      </w:r>
    </w:p>
    <w:p>
      <w:pPr>
        <w:keepNext/>
      </w:pPr>
      <w:r>
        <w:rPr>
          <w:b w:val="0"/>
          <w:i w:val="0"/>
        </w:rPr>
        <w:t>01</w:t>
      </w:r>
    </w:p>
    <w:p>
      <w:pPr/>
      <w:r>
        <w:rPr>
          <w:b w:val="0"/>
          <w:i w:val="0"/>
        </w:rPr>
        <w:t>Mean misalignment 0–15°</w:t>
      </w:r>
    </w:p>
    <w:p>
      <w:pPr>
        <w:keepNext/>
      </w:pPr>
      <w:r>
        <w:rPr>
          <w:b w:val="0"/>
          <w:i w:val="0"/>
        </w:rPr>
        <w:t>02</w:t>
      </w:r>
    </w:p>
    <w:p>
      <w:pPr/>
      <w:r>
        <w:rPr>
          <w:b w:val="0"/>
          <w:i w:val="0"/>
        </w:rPr>
        <w:t>fourth-order longitudinal orientation factor</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33" name="Picture 33" descr="CDS workflow or model illustration"/>
            <wp:cNvGraphicFramePr>
              <a:graphicFrameLocks noChangeAspect="1"/>
            </wp:cNvGraphicFramePr>
            <a:graphic>
              <a:graphicData uri="http://schemas.openxmlformats.org/drawingml/2006/picture">
                <pic:pic>
                  <pic:nvPicPr>
                    <pic:cNvPr id="0" name="rsvg-ebd549b45352203a7f89a66662e99c06293683e457645b9571082442e389a8fc.png"/>
                    <pic:cNvPicPr/>
                  </pic:nvPicPr>
                  <pic:blipFill>
                    <a:blip r:embed="rId105"/>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normalized longitudinal efficiency falls from 1.00 to 0.87 at 15° misalignment.</w:t>
      </w:r>
    </w:p>
    <w:p>
      <w:r>
        <w:rPr>
          <w:b/>
          <w:i w:val="0"/>
        </w:rPr>
        <w:t>Result basis</w:t>
      </w:r>
      <w:r>
        <w:t xml:space="preserve"> </w:t>
      </w:r>
      <w:r>
        <w:rPr>
          <w:b w:val="0"/>
          <w:i w:val="0"/>
        </w:rPr>
        <w:t>CDS r15 orientation-tensor route</w:t>
      </w:r>
      <w:r>
        <w:rPr>
          <w:b w:val="0"/>
          <w:i w:val="0"/>
        </w:rPr>
        <w:t xml:space="preserve"> </w:t>
      </w:r>
      <w:r>
        <w:rPr>
          <w:b w:val="0"/>
          <w:i w:val="0"/>
        </w:rPr>
        <w:t>. Values and trends reproduce this page’s example; this is not a fresh solver result or an additional validation claim.</w:t>
      </w:r>
    </w:p>
    <w:p>
      <w:r>
        <w:rPr>
          <w:b w:val="0"/>
          <w:i w:val="0"/>
        </w:rPr>
        <w:t>M09</w:t>
      </w:r>
      <w:r>
        <w:t xml:space="preserve"> </w:t>
      </w:r>
      <w:r>
        <w:rPr>
          <w:b w:val="0"/>
          <w:i w:val="0"/>
        </w:rPr>
        <w:t>CDS r15 textile architecture route</w:t>
      </w:r>
      <w:r>
        <w:t xml:space="preserve"> </w:t>
      </w:r>
    </w:p>
    <w:p>
      <w:pPr>
        <w:pStyle w:val="Heading3"/>
      </w:pPr>
      <w:r>
        <w:t>Woven crimp correction</w:t>
      </w:r>
    </w:p>
    <w:p>
      <w:pPr/>
      <w:r>
        <w:rPr>
          <w:b w:val="0"/>
          <w:i w:val="0"/>
        </w:rPr>
        <w:t>Route a balanced woven reinforcement through the crimp modifier to separate ideal tow stiffness from the manufactured fabric response.</w:t>
      </w:r>
    </w:p>
    <w:p>
      <w:pPr>
        <w:keepNext/>
      </w:pPr>
      <w:r>
        <w:rPr>
          <w:b/>
          <w:i w:val="0"/>
        </w:rPr>
        <w:t>Sources and theory (</w:t>
      </w:r>
      <w:r>
        <w:rPr>
          <w:b/>
          <w:i w:val="0"/>
        </w:rPr>
        <w:t xml:space="preserve"> </w:t>
      </w:r>
      <w:r>
        <w:rPr>
          <w:b/>
          <w:i w:val="0"/>
        </w:rPr>
        <w:t>1</w:t>
      </w:r>
      <w:r>
        <w:rPr>
          <w:b/>
          <w:i w:val="0"/>
        </w:rPr>
        <w:t xml:space="preserve"> </w:t>
      </w:r>
      <w:r>
        <w:rPr>
          <w:b/>
          <w:i w:val="0"/>
        </w:rPr>
        <w:t>)</w:t>
      </w:r>
    </w:p>
    <w:p>
      <w:hyperlink r:id="rId104">
        <w:r>
          <w:rPr>
            <w:color w:val="176EA4"/>
          </w:rPr>
          <w:t>CDS woven and textile models </w:t>
        </w:r>
      </w:hyperlink>
      <w:r>
        <w:t xml:space="preserve"> </w:t>
      </w:r>
    </w:p>
    <w:p>
      <w:pPr>
        <w:pStyle w:val="Caption"/>
      </w:pPr>
      <w:r>
        <w:rPr>
          <w:b/>
          <w:i w:val="0"/>
        </w:rPr>
        <w:t>M09</w:t>
      </w:r>
      <w:r>
        <w:rPr>
          <w:b w:val="0"/>
          <w:i w:val="0"/>
        </w:rPr>
        <w:t xml:space="preserve"> </w:t>
      </w:r>
      <w:r>
        <w:rPr>
          <w:b w:val="0"/>
          <w:i w:val="0"/>
        </w:rPr>
        <w:t xml:space="preserve"> </w:t>
      </w:r>
      <w:r>
        <w:rPr>
          <w:b w:val="0"/>
          <w:i w:val="0"/>
        </w:rPr>
        <w:t>Woven crimp correction</w:t>
      </w:r>
      <w:r>
        <w:t xml:space="preserve"> </w:t>
      </w:r>
      <w:r>
        <w:rPr>
          <w:b w:val="0"/>
          <w:i w:val="0"/>
        </w:rPr>
        <w:t>Illustrated example · not a live run</w:t>
      </w:r>
      <w:r>
        <w:t xml:space="preserve"> </w:t>
      </w:r>
    </w:p>
    <w:p>
      <w:r>
        <w:t>Materials</w:t>
      </w:r>
    </w:p>
    <w:p>
      <w:r>
        <w:t>Micro</w:t>
      </w:r>
    </w:p>
    <w:p>
      <w:r>
        <w:t>Properties</w:t>
      </w:r>
    </w:p>
    <w:p>
      <w:pPr>
        <w:pStyle w:val="Heading3"/>
      </w:pPr>
      <w:r>
        <w:t>1 Inputs</w:t>
      </w:r>
    </w:p>
    <w:p>
      <w:pPr>
        <w:keepNext/>
      </w:pPr>
      <w:r>
        <w:rPr>
          <w:b w:val="0"/>
          <w:i w:val="0"/>
        </w:rPr>
        <w:t>01</w:t>
      </w:r>
    </w:p>
    <w:p>
      <w:pPr/>
      <w:r>
        <w:rPr>
          <w:b w:val="0"/>
          <w:i w:val="0"/>
        </w:rPr>
        <w:t>Balanced 0/90 fabric</w:t>
      </w:r>
    </w:p>
    <w:p>
      <w:pPr>
        <w:keepNext/>
      </w:pPr>
      <w:r>
        <w:rPr>
          <w:b w:val="0"/>
          <w:i w:val="0"/>
        </w:rPr>
        <w:t>02</w:t>
      </w:r>
    </w:p>
    <w:p>
      <w:pPr/>
      <w:r>
        <w:rPr>
          <w:b w:val="0"/>
          <w:i w:val="0"/>
        </w:rPr>
        <w:t>crimp angle 0–15°</w:t>
      </w:r>
    </w:p>
    <w:p>
      <w:pPr>
        <w:keepNext/>
      </w:pPr>
      <w:r>
        <w:rPr>
          <w:b w:val="0"/>
          <w:i w:val="0"/>
        </w:rPr>
        <w:t>03</w:t>
      </w:r>
    </w:p>
    <w:p>
      <w:pPr/>
      <w:r>
        <w:rPr>
          <w:b w:val="0"/>
          <w:i w:val="0"/>
        </w:rPr>
        <w:t>equal tow fractions</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34" name="Picture 34" descr="CDS workflow or model illustration"/>
            <wp:cNvGraphicFramePr>
              <a:graphicFrameLocks noChangeAspect="1"/>
            </wp:cNvGraphicFramePr>
            <a:graphic>
              <a:graphicData uri="http://schemas.openxmlformats.org/drawingml/2006/picture">
                <pic:pic>
                  <pic:nvPicPr>
                    <pic:cNvPr id="0" name="rsvg-1b9eee64b577321f40db0990e8a5948760a5d928273921ec84457d8598b4179f.png"/>
                    <pic:cNvPicPr/>
                  </pic:nvPicPr>
                  <pic:blipFill>
                    <a:blip r:embed="rId106"/>
                    <a:stretch>
                      <a:fillRect/>
                    </a:stretch>
                  </pic:blipFill>
                  <pic:spPr>
                    <a:xfrm>
                      <a:off x="0" y="0"/>
                      <a:ext cx="6217920" cy="2914650"/>
                    </a:xfrm>
                    <a:prstGeom prst="rect"/>
                  </pic:spPr>
                </pic:pic>
              </a:graphicData>
            </a:graphic>
          </wp:inline>
        </w:drawing>
      </w:r>
    </w:p>
    <w:p>
      <w:pPr>
        <w:keepNext/>
      </w:pPr>
      <w:r>
        <w:t>What the result shows</w:t>
      </w:r>
    </w:p>
    <w:p>
      <w:pPr/>
      <w:r>
        <w:rPr>
          <w:b w:val="0"/>
          <w:i w:val="0"/>
        </w:rPr>
        <w:t>Increasing crimp progressively lowers the normalized in-plane stiffness to 0.87.</w:t>
      </w:r>
    </w:p>
    <w:p>
      <w:r>
        <w:rPr>
          <w:b/>
          <w:i w:val="0"/>
        </w:rPr>
        <w:t>Result basis</w:t>
      </w:r>
      <w:r>
        <w:t xml:space="preserve"> </w:t>
      </w:r>
      <w:r>
        <w:rPr>
          <w:b w:val="0"/>
          <w:i w:val="0"/>
        </w:rPr>
        <w:t>CDS r15 textile architecture route</w:t>
      </w:r>
      <w:r>
        <w:rPr>
          <w:b w:val="0"/>
          <w:i w:val="0"/>
        </w:rPr>
        <w:t xml:space="preserve"> </w:t>
      </w:r>
      <w:r>
        <w:rPr>
          <w:b w:val="0"/>
          <w:i w:val="0"/>
        </w:rPr>
        <w:t>. Values and trends reproduce this page’s example; this is not a fresh solver result or an additional validation claim.</w:t>
      </w:r>
    </w:p>
    <w:p>
      <w:r>
        <w:rPr>
          <w:b w:val="0"/>
          <w:i w:val="0"/>
        </w:rPr>
        <w:t>M10</w:t>
      </w:r>
      <w:r>
        <w:t xml:space="preserve"> </w:t>
      </w:r>
      <w:r>
        <w:rPr>
          <w:b w:val="0"/>
          <w:i w:val="0"/>
        </w:rPr>
        <w:t>CDS r15 thermophysical property solve</w:t>
      </w:r>
      <w:r>
        <w:t xml:space="preserve"> </w:t>
      </w:r>
    </w:p>
    <w:p>
      <w:pPr>
        <w:pStyle w:val="Heading3"/>
      </w:pPr>
      <w:r>
        <w:t>Directional thermal conductivity</w:t>
      </w:r>
    </w:p>
    <w:p>
      <w:pPr/>
      <w:r>
        <w:rPr>
          <w:b w:val="0"/>
          <w:i w:val="0"/>
        </w:rPr>
        <w:t>Resolve the longitudinal transport property set passed from micromechanics into the transient process solver.</w:t>
      </w:r>
    </w:p>
    <w:p>
      <w:pPr>
        <w:keepNext/>
      </w:pPr>
      <w:r>
        <w:rPr>
          <w:b/>
          <w:i w:val="0"/>
        </w:rPr>
        <w:t>Sources and theory (</w:t>
      </w:r>
      <w:r>
        <w:rPr>
          <w:b/>
          <w:i w:val="0"/>
        </w:rPr>
        <w:t xml:space="preserve"> </w:t>
      </w:r>
      <w:r>
        <w:rPr>
          <w:b/>
          <w:i w:val="0"/>
        </w:rPr>
        <w:t>1</w:t>
      </w:r>
      <w:r>
        <w:rPr>
          <w:b/>
          <w:i w:val="0"/>
        </w:rPr>
        <w:t xml:space="preserve"> </w:t>
      </w:r>
      <w:r>
        <w:rPr>
          <w:b/>
          <w:i w:val="0"/>
        </w:rPr>
        <w:t>)</w:t>
      </w:r>
    </w:p>
    <w:p>
      <w:hyperlink r:id="rId107">
        <w:r>
          <w:rPr>
            <w:color w:val="176EA4"/>
          </w:rPr>
          <w:t>CDS thermal-property assembly </w:t>
        </w:r>
      </w:hyperlink>
      <w:r>
        <w:t xml:space="preserve"> </w:t>
      </w:r>
    </w:p>
    <w:p>
      <w:pPr>
        <w:pStyle w:val="Caption"/>
      </w:pPr>
      <w:r>
        <w:rPr>
          <w:b/>
          <w:i w:val="0"/>
        </w:rPr>
        <w:t>M10</w:t>
      </w:r>
      <w:r>
        <w:rPr>
          <w:b w:val="0"/>
          <w:i w:val="0"/>
        </w:rPr>
        <w:t xml:space="preserve"> </w:t>
      </w:r>
      <w:r>
        <w:rPr>
          <w:b w:val="0"/>
          <w:i w:val="0"/>
        </w:rPr>
        <w:t xml:space="preserve"> </w:t>
      </w:r>
      <w:r>
        <w:rPr>
          <w:b w:val="0"/>
          <w:i w:val="0"/>
        </w:rPr>
        <w:t>Directional thermal conductivity</w:t>
      </w:r>
      <w:r>
        <w:t xml:space="preserve"> </w:t>
      </w:r>
      <w:r>
        <w:rPr>
          <w:b w:val="0"/>
          <w:i w:val="0"/>
        </w:rPr>
        <w:t>Illustrated example · not a live run</w:t>
      </w:r>
      <w:r>
        <w:t xml:space="preserve"> </w:t>
      </w:r>
    </w:p>
    <w:p>
      <w:r>
        <w:t>Materials</w:t>
      </w:r>
    </w:p>
    <w:p>
      <w:r>
        <w:t>Micro</w:t>
      </w:r>
    </w:p>
    <w:p>
      <w:r>
        <w:t>Properties</w:t>
      </w:r>
    </w:p>
    <w:p>
      <w:pPr>
        <w:pStyle w:val="Heading3"/>
      </w:pPr>
      <w:r>
        <w:t>1 Inputs</w:t>
      </w:r>
    </w:p>
    <w:p>
      <w:pPr>
        <w:keepNext/>
      </w:pPr>
      <w:r>
        <w:rPr>
          <w:b w:val="0"/>
          <w:i w:val="0"/>
        </w:rPr>
        <w:t>01</w:t>
      </w:r>
    </w:p>
    <w:p>
      <w:pPr/>
      <w:r>
        <w:rPr>
          <w:b w:val="0"/>
          <w:i w:val="0"/>
        </w:rPr>
        <w:t>kf1 10 W/m·K</w:t>
      </w:r>
    </w:p>
    <w:p>
      <w:pPr>
        <w:keepNext/>
      </w:pPr>
      <w:r>
        <w:rPr>
          <w:b w:val="0"/>
          <w:i w:val="0"/>
        </w:rPr>
        <w:t>02</w:t>
      </w:r>
    </w:p>
    <w:p>
      <w:pPr/>
      <w:r>
        <w:rPr>
          <w:b w:val="0"/>
          <w:i w:val="0"/>
        </w:rPr>
        <w:t>km 0.2 W/m·K</w:t>
      </w:r>
    </w:p>
    <w:p>
      <w:pPr>
        <w:keepNext/>
      </w:pPr>
      <w:r>
        <w:rPr>
          <w:b w:val="0"/>
          <w:i w:val="0"/>
        </w:rPr>
        <w:t>03</w:t>
      </w:r>
    </w:p>
    <w:p>
      <w:pPr/>
      <w:r>
        <w:rPr>
          <w:b w:val="0"/>
          <w:i w:val="0"/>
        </w:rPr>
        <w:t>Vf 0.40–0.70</w:t>
      </w:r>
    </w:p>
    <w:p>
      <w:pPr/>
      <w:r>
        <w:rPr>
          <w:b w:val="0"/>
          <w:i w:val="0"/>
        </w:rPr>
        <w:t>Keep these conditions unchanged when comparing with the answer.</w:t>
      </w:r>
    </w:p>
    <w:p>
      <w:pPr>
        <w:pStyle w:val="Heading3"/>
      </w:pPr>
      <w:r>
        <w:t>2 Output visualization</w:t>
      </w:r>
    </w:p>
    <w:p>
      <w:pPr>
        <w:keepNext w:val="0"/>
        <w:jc w:val="center"/>
      </w:pPr>
      <w:r>
        <w:drawing>
          <wp:inline xmlns:a="http://schemas.openxmlformats.org/drawingml/2006/main" xmlns:pic="http://schemas.openxmlformats.org/drawingml/2006/picture">
            <wp:extent cx="6217920" cy="2914650"/>
            <wp:docPr id="35" name="Picture 35" descr="CDS workflow or model illustration"/>
            <wp:cNvGraphicFramePr>
              <a:graphicFrameLocks noChangeAspect="1"/>
            </wp:cNvGraphicFramePr>
            <a:graphic>
              <a:graphicData uri="http://schemas.openxmlformats.org/drawingml/2006/picture">
                <pic:pic>
                  <pic:nvPicPr>
                    <pic:cNvPr id="0" name="rsvg-9f5c6f23d5ad76dac98dd7448dc46774cfd88fef3a87c7d07f64d2dfd2a50566.png"/>
                    <pic:cNvPicPr/>
                  </pic:nvPicPr>
                  <pic:blipFill>
                    <a:blip r:embed="rId108"/>
                    <a:stretch>
                      <a:fillRect/>
                    </a:stretch>
                  </pic:blipFill>
                  <pic:spPr>
                    <a:xfrm>
                      <a:off x="0" y="0"/>
                      <a:ext cx="6217920" cy="2914650"/>
                    </a:xfrm>
                    <a:prstGeom prst="rect"/>
                  </pic:spPr>
                </pic:pic>
              </a:graphicData>
            </a:graphic>
          </wp:inline>
        </w:drawing>
      </w:r>
    </w:p>
    <w:p>
      <w:pPr>
        <w:keepNext/>
      </w:pPr>
      <w:r>
        <w:t>What the result shows</w:t>
      </w:r>
    </w:p>
    <w:p>
      <w:pPr/>
      <w:r>
        <w:rPr>
          <w:b w:val="0"/>
          <w:i w:val="0"/>
        </w:rPr>
        <w:t>The longitudinal conductivity rises from 4.12 to 7.06 W/m·K as fiber content increases.</w:t>
      </w:r>
    </w:p>
    <w:p>
      <w:r>
        <w:rPr>
          <w:b/>
          <w:i w:val="0"/>
        </w:rPr>
        <w:t>Result basis</w:t>
      </w:r>
      <w:r>
        <w:t xml:space="preserve"> </w:t>
      </w:r>
      <w:r>
        <w:rPr>
          <w:b w:val="0"/>
          <w:i w:val="0"/>
        </w:rPr>
        <w:t>CDS r15 thermophysical property solve</w:t>
      </w:r>
      <w:r>
        <w:rPr>
          <w:b w:val="0"/>
          <w:i w:val="0"/>
        </w:rPr>
        <w:t xml:space="preserve"> </w:t>
      </w:r>
      <w:r>
        <w:rPr>
          <w:b w:val="0"/>
          <w:i w:val="0"/>
        </w:rPr>
        <w:t>. Values and trends reproduce this page’s example; this is not a fresh solver result or an additional validation claim.</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0" w:name="chapter_10"/>
      <w:pPr>
        <w:pStyle w:val="Heading1"/>
        <w:pageBreakBefore/>
      </w:pPr>
      <w:r>
        <w:t>10 Open Inspect Run and adapt</w:t>
      </w:r>
      <w:bookmarkEnd w:id="10"/>
    </w:p>
    <w:p>
      <w:pPr>
        <w:pStyle w:val="Caption"/>
      </w:pPr>
      <w:hyperlink r:id="rId109">
        <w:r>
          <w:rPr>
            <w:color w:val="176EA4"/>
          </w:rPr>
          <w:t>Online chapter</w:t>
        </w:r>
      </w:hyperlink>
      <w:r>
        <w:t xml:space="preserve"> </w:t>
      </w:r>
    </w:p>
    <w:p>
      <w:pPr/>
      <w:r>
        <w:rPr>
          <w:b w:val="0"/>
          <w:i w:val="0"/>
        </w:rPr>
        <w:t>Download compact input datasets and executable solver examples for micromechanics, laminates, plates, cylinders, and beam sections.</w:t>
      </w:r>
    </w:p>
    <w:p>
      <w:pPr>
        <w:pStyle w:val="Caption"/>
      </w:pPr>
      <w:r>
        <w:rPr>
          <w:b w:val="0"/>
          <w:i w:val="0"/>
        </w:rPr>
        <w:t>Constituent-to-ply · inputs</w:t>
      </w:r>
      <w:r>
        <w:t xml:space="preserve"> </w:t>
      </w:r>
      <w:r>
        <w:rPr>
          <w:b w:val="0"/>
          <w:i w:val="0"/>
        </w:rPr>
        <w:t>File contents · not solved results</w:t>
      </w:r>
      <w:r>
        <w:t xml:space="preserve"> </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Field</w:t>
            </w:r>
          </w:p>
        </w:tc>
        <w:tc>
          <w:tcPr>
            <w:tcW w:type="dxa" w:w="4896"/>
            <w:vAlign w:val="center"/>
            <w:shd w:fill="E7EDF3"/>
          </w:tcPr>
          <w:p>
            <w:pPr>
              <w:keepNext/>
              <w:spacing w:after="100" w:before="100"/>
            </w:pPr>
            <w:r>
              <w:rPr>
                <w:b/>
                <w:i w:val="0"/>
                <w:sz w:val="20"/>
              </w:rPr>
              <w:t>Stored value</w:t>
            </w:r>
          </w:p>
        </w:tc>
      </w:tr>
      <w:tr>
        <w:trPr>
          <w:cantSplit/>
        </w:trPr>
        <w:tc>
          <w:tcPr>
            <w:tcW w:type="dxa" w:w="4896"/>
            <w:vAlign w:val="center"/>
            <w:shd w:fill="FFFFFF"/>
          </w:tcPr>
          <w:p>
            <w:pPr>
              <w:spacing w:after="100" w:before="100"/>
            </w:pPr>
            <w:r>
              <w:rPr>
                <w:b w:val="0"/>
                <w:i w:val="0"/>
                <w:sz w:val="20"/>
              </w:rPr>
              <w:t>Fiber / matrix</w:t>
            </w:r>
          </w:p>
        </w:tc>
        <w:tc>
          <w:tcPr>
            <w:tcW w:type="dxa" w:w="4896"/>
            <w:vAlign w:val="center"/>
            <w:shd w:fill="FFFFFF"/>
          </w:tcPr>
          <w:p>
            <w:pPr>
              <w:spacing w:after="100" w:before="100"/>
            </w:pPr>
            <w:r>
              <w:rPr>
                <w:b w:val="0"/>
                <w:i w:val="0"/>
                <w:sz w:val="20"/>
              </w:rPr>
              <w:t>Carbon fiber / Epoxy</w:t>
            </w:r>
          </w:p>
        </w:tc>
      </w:tr>
      <w:tr>
        <w:trPr>
          <w:cantSplit/>
        </w:trPr>
        <w:tc>
          <w:tcPr>
            <w:tcW w:type="dxa" w:w="4896"/>
            <w:vAlign w:val="center"/>
            <w:shd w:fill="FFFFFF"/>
          </w:tcPr>
          <w:p>
            <w:pPr>
              <w:spacing w:after="100" w:before="100"/>
            </w:pPr>
            <w:r>
              <w:rPr>
                <w:b w:val="0"/>
                <w:i w:val="0"/>
                <w:sz w:val="20"/>
              </w:rPr>
              <w:t>Fiber volume fraction</w:t>
            </w:r>
          </w:p>
        </w:tc>
        <w:tc>
          <w:tcPr>
            <w:tcW w:type="dxa" w:w="4896"/>
            <w:vAlign w:val="center"/>
            <w:shd w:fill="FFFFFF"/>
          </w:tcPr>
          <w:p>
            <w:pPr>
              <w:spacing w:after="100" w:before="100"/>
            </w:pPr>
            <w:r>
              <w:rPr>
                <w:b w:val="0"/>
                <w:i w:val="0"/>
                <w:sz w:val="20"/>
              </w:rPr>
              <w:t>0.58</w:t>
            </w:r>
          </w:p>
        </w:tc>
      </w:tr>
      <w:tr>
        <w:trPr>
          <w:cantSplit/>
        </w:trPr>
        <w:tc>
          <w:tcPr>
            <w:tcW w:type="dxa" w:w="4896"/>
            <w:vAlign w:val="center"/>
            <w:shd w:fill="FFFFFF"/>
          </w:tcPr>
          <w:p>
            <w:pPr>
              <w:spacing w:after="100" w:before="100"/>
            </w:pPr>
            <w:r>
              <w:rPr>
                <w:b w:val="0"/>
                <w:i w:val="0"/>
                <w:sz w:val="20"/>
              </w:rPr>
              <w:t>Void volume fraction</w:t>
            </w:r>
          </w:p>
        </w:tc>
        <w:tc>
          <w:tcPr>
            <w:tcW w:type="dxa" w:w="4896"/>
            <w:vAlign w:val="center"/>
            <w:shd w:fill="FFFFFF"/>
          </w:tcPr>
          <w:p>
            <w:pPr>
              <w:spacing w:after="100" w:before="100"/>
            </w:pPr>
            <w:r>
              <w:rPr>
                <w:b w:val="0"/>
                <w:i w:val="0"/>
                <w:sz w:val="20"/>
              </w:rPr>
              <w:t>0.02</w:t>
            </w:r>
          </w:p>
        </w:tc>
      </w:tr>
      <w:tr>
        <w:trPr>
          <w:cantSplit/>
        </w:trPr>
        <w:tc>
          <w:tcPr>
            <w:tcW w:type="dxa" w:w="4896"/>
            <w:vAlign w:val="center"/>
            <w:shd w:fill="FFFFFF"/>
          </w:tcPr>
          <w:p>
            <w:pPr>
              <w:spacing w:after="100" w:before="100"/>
            </w:pPr>
            <w:r>
              <w:rPr>
                <w:b w:val="0"/>
                <w:i w:val="0"/>
                <w:sz w:val="20"/>
              </w:rPr>
              <w:t>Model</w:t>
            </w:r>
          </w:p>
        </w:tc>
        <w:tc>
          <w:tcPr>
            <w:tcW w:type="dxa" w:w="4896"/>
            <w:vAlign w:val="center"/>
            <w:shd w:fill="FFFFFF"/>
          </w:tcPr>
          <w:p>
            <w:pPr>
              <w:spacing w:after="100" w:before="100"/>
            </w:pPr>
            <w:r>
              <w:rPr>
                <w:b w:val="0"/>
                <w:i w:val="0"/>
                <w:sz w:val="20"/>
              </w:rPr>
              <w:t>Continuous unidirectional</w:t>
            </w:r>
          </w:p>
        </w:tc>
      </w:tr>
    </w:tbl>
    <w:p>
      <w:pPr>
        <w:spacing w:after="0"/>
      </w:pPr>
    </w:p>
    <w:p>
      <w:pPr/>
      <w:r>
        <w:rPr>
          <w:b w:val="0"/>
          <w:i w:val="0"/>
        </w:rPr>
        <w:t xml:space="preserve">Input preview from </w:t>
      </w:r>
      <w:hyperlink r:id="rId110">
        <w:r>
          <w:rPr>
            <w:color w:val="176EA4"/>
          </w:rPr>
          <w:t>cds-lamina-starter.csv</w:t>
        </w:r>
      </w:hyperlink>
      <w:r>
        <w:t xml:space="preserve"> </w:t>
      </w:r>
      <w:r>
        <w:rPr>
          <w:b w:val="0"/>
          <w:i w:val="0"/>
        </w:rPr>
        <w:t>. No modulus result is stored in this file.</w:t>
      </w:r>
    </w:p>
    <w:p>
      <w:pPr>
        <w:pStyle w:val="Caption"/>
      </w:pPr>
      <w:r>
        <w:rPr>
          <w:b w:val="0"/>
          <w:i w:val="0"/>
        </w:rPr>
        <w:t>Symmetric plate · ply stack</w:t>
      </w:r>
      <w:r>
        <w:t xml:space="preserve"> </w:t>
      </w:r>
      <w:r>
        <w:rPr>
          <w:b w:val="0"/>
          <w:i w:val="0"/>
        </w:rPr>
        <w:t>File contents · not solved results</w:t>
      </w:r>
      <w:r>
        <w:t xml:space="preserve"> </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Ply</w:t>
            </w:r>
          </w:p>
        </w:tc>
        <w:tc>
          <w:tcPr>
            <w:tcW w:type="dxa" w:w="3264"/>
            <w:vAlign w:val="center"/>
            <w:shd w:fill="E7EDF3"/>
          </w:tcPr>
          <w:p>
            <w:pPr>
              <w:keepNext/>
              <w:spacing w:after="100" w:before="100"/>
            </w:pPr>
            <w:r>
              <w:rPr>
                <w:b/>
                <w:i w:val="0"/>
                <w:sz w:val="20"/>
              </w:rPr>
              <w:t>Angle</w:t>
            </w:r>
          </w:p>
        </w:tc>
        <w:tc>
          <w:tcPr>
            <w:tcW w:type="dxa" w:w="3264"/>
            <w:vAlign w:val="center"/>
            <w:shd w:fill="E7EDF3"/>
          </w:tcPr>
          <w:p>
            <w:pPr>
              <w:keepNext/>
              <w:spacing w:after="100" w:before="100"/>
            </w:pPr>
            <w:r>
              <w:rPr>
                <w:b/>
                <w:i w:val="0"/>
                <w:sz w:val="20"/>
              </w:rPr>
              <w:t>Thickness</w:t>
            </w:r>
          </w:p>
        </w:tc>
      </w:tr>
      <w:tr>
        <w:trPr>
          <w:cantSplit/>
        </w:trPr>
        <w:tc>
          <w:tcPr>
            <w:tcW w:type="dxa" w:w="3264"/>
            <w:vAlign w:val="center"/>
            <w:shd w:fill="FFFFFF"/>
          </w:tcPr>
          <w:p>
            <w:pPr>
              <w:spacing w:after="100" w:before="100"/>
            </w:pPr>
            <w:r>
              <w:rPr>
                <w:b w:val="0"/>
                <w:i w:val="0"/>
                <w:sz w:val="20"/>
              </w:rPr>
              <w:t>1</w:t>
            </w:r>
          </w:p>
        </w:tc>
        <w:tc>
          <w:tcPr>
            <w:tcW w:type="dxa" w:w="3264"/>
            <w:vAlign w:val="center"/>
            <w:shd w:fill="FFFFFF"/>
          </w:tcPr>
          <w:p>
            <w:pPr>
              <w:spacing w:after="100" w:before="100"/>
            </w:pPr>
            <w:r>
              <w:rPr>
                <w:b w:val="0"/>
                <w:i w:val="0"/>
                <w:sz w:val="20"/>
              </w:rPr>
              <w:t>0</w:t>
            </w:r>
            <w:r>
              <w:rPr>
                <w:b w:val="0"/>
                <w:i w:val="0"/>
                <w:sz w:val="20"/>
              </w:rPr>
              <w:t xml:space="preserve"> </w:t>
            </w:r>
            <w:r>
              <w:rPr>
                <w:b w:val="0"/>
                <w:i w:val="0"/>
                <w:sz w:val="20"/>
              </w:rPr>
              <w:t>°</w:t>
            </w:r>
          </w:p>
        </w:tc>
        <w:tc>
          <w:tcPr>
            <w:tcW w:type="dxa" w:w="3264"/>
            <w:vAlign w:val="center"/>
            <w:shd w:fill="FFFFFF"/>
          </w:tcPr>
          <w:p>
            <w:pPr>
              <w:spacing w:after="100" w:before="100"/>
            </w:pPr>
            <w:r>
              <w:rPr>
                <w:b w:val="0"/>
                <w:i w:val="0"/>
                <w:sz w:val="20"/>
              </w:rPr>
              <w:t>0.125 mm</w:t>
            </w:r>
          </w:p>
        </w:tc>
      </w:tr>
      <w:tr>
        <w:trPr>
          <w:cantSplit/>
        </w:trPr>
        <w:tc>
          <w:tcPr>
            <w:tcW w:type="dxa" w:w="3264"/>
            <w:vAlign w:val="center"/>
            <w:shd w:fill="FFFFFF"/>
          </w:tcPr>
          <w:p>
            <w:pPr>
              <w:spacing w:after="100" w:before="100"/>
            </w:pPr>
            <w:r>
              <w:rPr>
                <w:b w:val="0"/>
                <w:i w:val="0"/>
                <w:sz w:val="20"/>
              </w:rPr>
              <w:t>2</w:t>
            </w:r>
          </w:p>
        </w:tc>
        <w:tc>
          <w:tcPr>
            <w:tcW w:type="dxa" w:w="3264"/>
            <w:vAlign w:val="center"/>
            <w:shd w:fill="FFFFFF"/>
          </w:tcPr>
          <w:p>
            <w:pPr>
              <w:spacing w:after="100" w:before="100"/>
            </w:pPr>
            <w:r>
              <w:rPr>
                <w:b w:val="0"/>
                <w:i w:val="0"/>
                <w:sz w:val="20"/>
              </w:rPr>
              <w:t>45</w:t>
            </w:r>
            <w:r>
              <w:rPr>
                <w:b w:val="0"/>
                <w:i w:val="0"/>
                <w:sz w:val="20"/>
              </w:rPr>
              <w:t xml:space="preserve"> </w:t>
            </w:r>
            <w:r>
              <w:rPr>
                <w:b w:val="0"/>
                <w:i w:val="0"/>
                <w:sz w:val="20"/>
              </w:rPr>
              <w:t>°</w:t>
            </w:r>
          </w:p>
        </w:tc>
        <w:tc>
          <w:tcPr>
            <w:tcW w:type="dxa" w:w="3264"/>
            <w:vAlign w:val="center"/>
            <w:shd w:fill="FFFFFF"/>
          </w:tcPr>
          <w:p>
            <w:pPr>
              <w:spacing w:after="100" w:before="100"/>
            </w:pPr>
            <w:r>
              <w:rPr>
                <w:b w:val="0"/>
                <w:i w:val="0"/>
                <w:sz w:val="20"/>
              </w:rPr>
              <w:t>0.125 mm</w:t>
            </w:r>
          </w:p>
        </w:tc>
      </w:tr>
      <w:tr>
        <w:trPr>
          <w:cantSplit/>
        </w:trPr>
        <w:tc>
          <w:tcPr>
            <w:tcW w:type="dxa" w:w="3264"/>
            <w:vAlign w:val="center"/>
            <w:shd w:fill="FFFFFF"/>
          </w:tcPr>
          <w:p>
            <w:pPr>
              <w:spacing w:after="100" w:before="100"/>
            </w:pPr>
            <w:r>
              <w:rPr>
                <w:b w:val="0"/>
                <w:i w:val="0"/>
                <w:sz w:val="20"/>
              </w:rPr>
              <w:t>3</w:t>
            </w:r>
          </w:p>
        </w:tc>
        <w:tc>
          <w:tcPr>
            <w:tcW w:type="dxa" w:w="3264"/>
            <w:vAlign w:val="center"/>
            <w:shd w:fill="FFFFFF"/>
          </w:tcPr>
          <w:p>
            <w:pPr>
              <w:spacing w:after="100" w:before="100"/>
            </w:pPr>
            <w:r>
              <w:rPr>
                <w:b w:val="0"/>
                <w:i w:val="0"/>
                <w:sz w:val="20"/>
              </w:rPr>
              <w:t>-45</w:t>
            </w:r>
            <w:r>
              <w:rPr>
                <w:b w:val="0"/>
                <w:i w:val="0"/>
                <w:sz w:val="20"/>
              </w:rPr>
              <w:t xml:space="preserve"> </w:t>
            </w:r>
            <w:r>
              <w:rPr>
                <w:b w:val="0"/>
                <w:i w:val="0"/>
                <w:sz w:val="20"/>
              </w:rPr>
              <w:t>°</w:t>
            </w:r>
          </w:p>
        </w:tc>
        <w:tc>
          <w:tcPr>
            <w:tcW w:type="dxa" w:w="3264"/>
            <w:vAlign w:val="center"/>
            <w:shd w:fill="FFFFFF"/>
          </w:tcPr>
          <w:p>
            <w:pPr>
              <w:spacing w:after="100" w:before="100"/>
            </w:pPr>
            <w:r>
              <w:rPr>
                <w:b w:val="0"/>
                <w:i w:val="0"/>
                <w:sz w:val="20"/>
              </w:rPr>
              <w:t>0.125 mm</w:t>
            </w:r>
          </w:p>
        </w:tc>
      </w:tr>
      <w:tr>
        <w:trPr>
          <w:cantSplit/>
        </w:trPr>
        <w:tc>
          <w:tcPr>
            <w:tcW w:type="dxa" w:w="3264"/>
            <w:vAlign w:val="center"/>
            <w:shd w:fill="FFFFFF"/>
          </w:tcPr>
          <w:p>
            <w:pPr>
              <w:spacing w:after="100" w:before="100"/>
            </w:pPr>
            <w:r>
              <w:rPr>
                <w:b w:val="0"/>
                <w:i w:val="0"/>
                <w:sz w:val="20"/>
              </w:rPr>
              <w:t>4</w:t>
            </w:r>
          </w:p>
        </w:tc>
        <w:tc>
          <w:tcPr>
            <w:tcW w:type="dxa" w:w="3264"/>
            <w:vAlign w:val="center"/>
            <w:shd w:fill="FFFFFF"/>
          </w:tcPr>
          <w:p>
            <w:pPr>
              <w:spacing w:after="100" w:before="100"/>
            </w:pPr>
            <w:r>
              <w:rPr>
                <w:b w:val="0"/>
                <w:i w:val="0"/>
                <w:sz w:val="20"/>
              </w:rPr>
              <w:t>90</w:t>
            </w:r>
            <w:r>
              <w:rPr>
                <w:b w:val="0"/>
                <w:i w:val="0"/>
                <w:sz w:val="20"/>
              </w:rPr>
              <w:t xml:space="preserve"> </w:t>
            </w:r>
            <w:r>
              <w:rPr>
                <w:b w:val="0"/>
                <w:i w:val="0"/>
                <w:sz w:val="20"/>
              </w:rPr>
              <w:t>°</w:t>
            </w:r>
          </w:p>
        </w:tc>
        <w:tc>
          <w:tcPr>
            <w:tcW w:type="dxa" w:w="3264"/>
            <w:vAlign w:val="center"/>
            <w:shd w:fill="FFFFFF"/>
          </w:tcPr>
          <w:p>
            <w:pPr>
              <w:spacing w:after="100" w:before="100"/>
            </w:pPr>
            <w:r>
              <w:rPr>
                <w:b w:val="0"/>
                <w:i w:val="0"/>
                <w:sz w:val="20"/>
              </w:rPr>
              <w:t>0.125 mm</w:t>
            </w:r>
          </w:p>
        </w:tc>
      </w:tr>
      <w:tr>
        <w:trPr>
          <w:cantSplit/>
        </w:trPr>
        <w:tc>
          <w:tcPr>
            <w:tcW w:type="dxa" w:w="3264"/>
            <w:vAlign w:val="center"/>
            <w:shd w:fill="FFFFFF"/>
          </w:tcPr>
          <w:p>
            <w:pPr>
              <w:spacing w:after="100" w:before="100"/>
            </w:pPr>
            <w:r>
              <w:rPr>
                <w:b w:val="0"/>
                <w:i w:val="0"/>
                <w:sz w:val="20"/>
              </w:rPr>
              <w:t>5</w:t>
            </w:r>
          </w:p>
        </w:tc>
        <w:tc>
          <w:tcPr>
            <w:tcW w:type="dxa" w:w="3264"/>
            <w:vAlign w:val="center"/>
            <w:shd w:fill="FFFFFF"/>
          </w:tcPr>
          <w:p>
            <w:pPr>
              <w:spacing w:after="100" w:before="100"/>
            </w:pPr>
            <w:r>
              <w:rPr>
                <w:b w:val="0"/>
                <w:i w:val="0"/>
                <w:sz w:val="20"/>
              </w:rPr>
              <w:t>90</w:t>
            </w:r>
            <w:r>
              <w:rPr>
                <w:b w:val="0"/>
                <w:i w:val="0"/>
                <w:sz w:val="20"/>
              </w:rPr>
              <w:t xml:space="preserve"> </w:t>
            </w:r>
            <w:r>
              <w:rPr>
                <w:b w:val="0"/>
                <w:i w:val="0"/>
                <w:sz w:val="20"/>
              </w:rPr>
              <w:t>°</w:t>
            </w:r>
          </w:p>
        </w:tc>
        <w:tc>
          <w:tcPr>
            <w:tcW w:type="dxa" w:w="3264"/>
            <w:vAlign w:val="center"/>
            <w:shd w:fill="FFFFFF"/>
          </w:tcPr>
          <w:p>
            <w:pPr>
              <w:spacing w:after="100" w:before="100"/>
            </w:pPr>
            <w:r>
              <w:rPr>
                <w:b w:val="0"/>
                <w:i w:val="0"/>
                <w:sz w:val="20"/>
              </w:rPr>
              <w:t>0.125 mm</w:t>
            </w:r>
          </w:p>
        </w:tc>
      </w:tr>
      <w:tr>
        <w:trPr>
          <w:cantSplit/>
        </w:trPr>
        <w:tc>
          <w:tcPr>
            <w:tcW w:type="dxa" w:w="3264"/>
            <w:vAlign w:val="center"/>
            <w:shd w:fill="FFFFFF"/>
          </w:tcPr>
          <w:p>
            <w:pPr>
              <w:spacing w:after="100" w:before="100"/>
            </w:pPr>
            <w:r>
              <w:rPr>
                <w:b w:val="0"/>
                <w:i w:val="0"/>
                <w:sz w:val="20"/>
              </w:rPr>
              <w:t>6</w:t>
            </w:r>
          </w:p>
        </w:tc>
        <w:tc>
          <w:tcPr>
            <w:tcW w:type="dxa" w:w="3264"/>
            <w:vAlign w:val="center"/>
            <w:shd w:fill="FFFFFF"/>
          </w:tcPr>
          <w:p>
            <w:pPr>
              <w:spacing w:after="100" w:before="100"/>
            </w:pPr>
            <w:r>
              <w:rPr>
                <w:b w:val="0"/>
                <w:i w:val="0"/>
                <w:sz w:val="20"/>
              </w:rPr>
              <w:t>-45</w:t>
            </w:r>
            <w:r>
              <w:rPr>
                <w:b w:val="0"/>
                <w:i w:val="0"/>
                <w:sz w:val="20"/>
              </w:rPr>
              <w:t xml:space="preserve"> </w:t>
            </w:r>
            <w:r>
              <w:rPr>
                <w:b w:val="0"/>
                <w:i w:val="0"/>
                <w:sz w:val="20"/>
              </w:rPr>
              <w:t>°</w:t>
            </w:r>
          </w:p>
        </w:tc>
        <w:tc>
          <w:tcPr>
            <w:tcW w:type="dxa" w:w="3264"/>
            <w:vAlign w:val="center"/>
            <w:shd w:fill="FFFFFF"/>
          </w:tcPr>
          <w:p>
            <w:pPr>
              <w:spacing w:after="100" w:before="100"/>
            </w:pPr>
            <w:r>
              <w:rPr>
                <w:b w:val="0"/>
                <w:i w:val="0"/>
                <w:sz w:val="20"/>
              </w:rPr>
              <w:t>0.125 mm</w:t>
            </w:r>
          </w:p>
        </w:tc>
      </w:tr>
      <w:tr>
        <w:trPr>
          <w:cantSplit/>
        </w:trPr>
        <w:tc>
          <w:tcPr>
            <w:tcW w:type="dxa" w:w="3264"/>
            <w:vAlign w:val="center"/>
            <w:shd w:fill="FFFFFF"/>
          </w:tcPr>
          <w:p>
            <w:pPr>
              <w:spacing w:after="100" w:before="100"/>
            </w:pPr>
            <w:r>
              <w:rPr>
                <w:b w:val="0"/>
                <w:i w:val="0"/>
                <w:sz w:val="20"/>
              </w:rPr>
              <w:t>7</w:t>
            </w:r>
          </w:p>
        </w:tc>
        <w:tc>
          <w:tcPr>
            <w:tcW w:type="dxa" w:w="3264"/>
            <w:vAlign w:val="center"/>
            <w:shd w:fill="FFFFFF"/>
          </w:tcPr>
          <w:p>
            <w:pPr>
              <w:spacing w:after="100" w:before="100"/>
            </w:pPr>
            <w:r>
              <w:rPr>
                <w:b w:val="0"/>
                <w:i w:val="0"/>
                <w:sz w:val="20"/>
              </w:rPr>
              <w:t>45</w:t>
            </w:r>
            <w:r>
              <w:rPr>
                <w:b w:val="0"/>
                <w:i w:val="0"/>
                <w:sz w:val="20"/>
              </w:rPr>
              <w:t xml:space="preserve"> </w:t>
            </w:r>
            <w:r>
              <w:rPr>
                <w:b w:val="0"/>
                <w:i w:val="0"/>
                <w:sz w:val="20"/>
              </w:rPr>
              <w:t>°</w:t>
            </w:r>
          </w:p>
        </w:tc>
        <w:tc>
          <w:tcPr>
            <w:tcW w:type="dxa" w:w="3264"/>
            <w:vAlign w:val="center"/>
            <w:shd w:fill="FFFFFF"/>
          </w:tcPr>
          <w:p>
            <w:pPr>
              <w:spacing w:after="100" w:before="100"/>
            </w:pPr>
            <w:r>
              <w:rPr>
                <w:b w:val="0"/>
                <w:i w:val="0"/>
                <w:sz w:val="20"/>
              </w:rPr>
              <w:t>0.125 mm</w:t>
            </w:r>
          </w:p>
        </w:tc>
      </w:tr>
      <w:tr>
        <w:trPr>
          <w:cantSplit/>
        </w:trPr>
        <w:tc>
          <w:tcPr>
            <w:tcW w:type="dxa" w:w="3264"/>
            <w:vAlign w:val="center"/>
            <w:shd w:fill="FFFFFF"/>
          </w:tcPr>
          <w:p>
            <w:pPr>
              <w:spacing w:after="100" w:before="100"/>
            </w:pPr>
            <w:r>
              <w:rPr>
                <w:b w:val="0"/>
                <w:i w:val="0"/>
                <w:sz w:val="20"/>
              </w:rPr>
              <w:t>8</w:t>
            </w:r>
          </w:p>
        </w:tc>
        <w:tc>
          <w:tcPr>
            <w:tcW w:type="dxa" w:w="3264"/>
            <w:vAlign w:val="center"/>
            <w:shd w:fill="FFFFFF"/>
          </w:tcPr>
          <w:p>
            <w:pPr>
              <w:spacing w:after="100" w:before="100"/>
            </w:pPr>
            <w:r>
              <w:rPr>
                <w:b w:val="0"/>
                <w:i w:val="0"/>
                <w:sz w:val="20"/>
              </w:rPr>
              <w:t>0</w:t>
            </w:r>
            <w:r>
              <w:rPr>
                <w:b w:val="0"/>
                <w:i w:val="0"/>
                <w:sz w:val="20"/>
              </w:rPr>
              <w:t xml:space="preserve"> </w:t>
            </w:r>
            <w:r>
              <w:rPr>
                <w:b w:val="0"/>
                <w:i w:val="0"/>
                <w:sz w:val="20"/>
              </w:rPr>
              <w:t>°</w:t>
            </w:r>
          </w:p>
        </w:tc>
        <w:tc>
          <w:tcPr>
            <w:tcW w:type="dxa" w:w="3264"/>
            <w:vAlign w:val="center"/>
            <w:shd w:fill="FFFFFF"/>
          </w:tcPr>
          <w:p>
            <w:pPr>
              <w:spacing w:after="100" w:before="100"/>
            </w:pPr>
            <w:r>
              <w:rPr>
                <w:b w:val="0"/>
                <w:i w:val="0"/>
                <w:sz w:val="20"/>
              </w:rPr>
              <w:t>0.125 mm</w:t>
            </w:r>
          </w:p>
        </w:tc>
      </w:tr>
    </w:tbl>
    <w:p>
      <w:pPr>
        <w:spacing w:after="0"/>
      </w:pPr>
    </w:p>
    <w:p>
      <w:pPr/>
      <w:hyperlink r:id="rId111">
        <w:r>
          <w:rPr>
            <w:color w:val="176EA4"/>
          </w:rPr>
          <w:t>Eight-ply CSV</w:t>
        </w:r>
      </w:hyperlink>
      <w:r>
        <w:t xml:space="preserve"> </w:t>
      </w:r>
      <w:r>
        <w:rPr>
          <w:b w:val="0"/>
          <w:i w:val="0"/>
        </w:rPr>
        <w:t xml:space="preserve"> · 1.0 mm total thickness. Thermal and moisture increments start at zero.</w:t>
      </w:r>
    </w:p>
    <w:p>
      <w:pPr>
        <w:pStyle w:val="Caption"/>
      </w:pPr>
      <w:r>
        <w:rPr>
          <w:b w:val="0"/>
          <w:i w:val="0"/>
        </w:rPr>
        <w:t>Cylinder · geometry and load</w:t>
      </w:r>
      <w:r>
        <w:t xml:space="preserve"> </w:t>
      </w:r>
      <w:r>
        <w:rPr>
          <w:b w:val="0"/>
          <w:i w:val="0"/>
        </w:rPr>
        <w:t>File contents · not solved results</w:t>
      </w:r>
      <w:r>
        <w:t xml:space="preserve"> </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Field</w:t>
            </w:r>
          </w:p>
        </w:tc>
        <w:tc>
          <w:tcPr>
            <w:tcW w:type="dxa" w:w="4896"/>
            <w:vAlign w:val="center"/>
            <w:shd w:fill="E7EDF3"/>
          </w:tcPr>
          <w:p>
            <w:pPr>
              <w:keepNext/>
              <w:spacing w:after="100" w:before="100"/>
            </w:pPr>
            <w:r>
              <w:rPr>
                <w:b/>
                <w:i w:val="0"/>
                <w:sz w:val="20"/>
              </w:rPr>
              <w:t>Stored value</w:t>
            </w:r>
          </w:p>
        </w:tc>
      </w:tr>
      <w:tr>
        <w:trPr>
          <w:cantSplit/>
        </w:trPr>
        <w:tc>
          <w:tcPr>
            <w:tcW w:type="dxa" w:w="4896"/>
            <w:vAlign w:val="center"/>
            <w:shd w:fill="FFFFFF"/>
          </w:tcPr>
          <w:p>
            <w:pPr>
              <w:spacing w:after="100" w:before="100"/>
            </w:pPr>
            <w:r>
              <w:rPr>
                <w:b w:val="0"/>
                <w:i w:val="0"/>
                <w:sz w:val="20"/>
              </w:rPr>
              <w:t>Radius / length</w:t>
            </w:r>
          </w:p>
        </w:tc>
        <w:tc>
          <w:tcPr>
            <w:tcW w:type="dxa" w:w="4896"/>
            <w:vAlign w:val="center"/>
            <w:shd w:fill="FFFFFF"/>
          </w:tcPr>
          <w:p>
            <w:pPr>
              <w:spacing w:after="100" w:before="100"/>
            </w:pPr>
            <w:r>
              <w:rPr>
                <w:b w:val="0"/>
                <w:i w:val="0"/>
                <w:sz w:val="20"/>
              </w:rPr>
              <w:t>250 / 1000 mm</w:t>
            </w:r>
          </w:p>
        </w:tc>
      </w:tr>
      <w:tr>
        <w:trPr>
          <w:cantSplit/>
        </w:trPr>
        <w:tc>
          <w:tcPr>
            <w:tcW w:type="dxa" w:w="4896"/>
            <w:vAlign w:val="center"/>
            <w:shd w:fill="FFFFFF"/>
          </w:tcPr>
          <w:p>
            <w:pPr>
              <w:spacing w:after="100" w:before="100"/>
            </w:pPr>
            <w:r>
              <w:rPr>
                <w:b w:val="0"/>
                <w:i w:val="0"/>
                <w:sz w:val="20"/>
              </w:rPr>
              <w:t>Internal pressure</w:t>
            </w:r>
          </w:p>
        </w:tc>
        <w:tc>
          <w:tcPr>
            <w:tcW w:type="dxa" w:w="4896"/>
            <w:vAlign w:val="center"/>
            <w:shd w:fill="FFFFFF"/>
          </w:tcPr>
          <w:p>
            <w:pPr>
              <w:spacing w:after="100" w:before="100"/>
            </w:pPr>
            <w:r>
              <w:rPr>
                <w:b w:val="0"/>
                <w:i w:val="0"/>
                <w:sz w:val="20"/>
              </w:rPr>
              <w:t>2.5 MPa</w:t>
            </w:r>
          </w:p>
        </w:tc>
      </w:tr>
      <w:tr>
        <w:trPr>
          <w:cantSplit/>
        </w:trPr>
        <w:tc>
          <w:tcPr>
            <w:tcW w:type="dxa" w:w="4896"/>
            <w:vAlign w:val="center"/>
            <w:shd w:fill="FFFFFF"/>
          </w:tcPr>
          <w:p>
            <w:pPr>
              <w:spacing w:after="100" w:before="100"/>
            </w:pPr>
            <w:r>
              <w:rPr>
                <w:b w:val="0"/>
                <w:i w:val="0"/>
                <w:sz w:val="20"/>
              </w:rPr>
              <w:t>Axial force / torque</w:t>
            </w:r>
          </w:p>
        </w:tc>
        <w:tc>
          <w:tcPr>
            <w:tcW w:type="dxa" w:w="4896"/>
            <w:vAlign w:val="center"/>
            <w:shd w:fill="FFFFFF"/>
          </w:tcPr>
          <w:p>
            <w:pPr>
              <w:spacing w:after="100" w:before="100"/>
            </w:pPr>
            <w:r>
              <w:rPr>
                <w:b w:val="0"/>
                <w:i w:val="0"/>
                <w:sz w:val="20"/>
              </w:rPr>
              <w:t>0 N / 0 N·m</w:t>
            </w:r>
          </w:p>
        </w:tc>
      </w:tr>
      <w:tr>
        <w:trPr>
          <w:cantSplit/>
        </w:trPr>
        <w:tc>
          <w:tcPr>
            <w:tcW w:type="dxa" w:w="4896"/>
            <w:vAlign w:val="center"/>
            <w:shd w:fill="FFFFFF"/>
          </w:tcPr>
          <w:p>
            <w:pPr>
              <w:spacing w:after="100" w:before="100"/>
            </w:pPr>
            <w:r>
              <w:rPr>
                <w:b w:val="0"/>
                <w:i w:val="0"/>
                <w:sz w:val="20"/>
              </w:rPr>
              <w:t>Temperature</w:t>
            </w:r>
          </w:p>
        </w:tc>
        <w:tc>
          <w:tcPr>
            <w:tcW w:type="dxa" w:w="4896"/>
            <w:vAlign w:val="center"/>
            <w:shd w:fill="FFFFFF"/>
          </w:tcPr>
          <w:p>
            <w:pPr>
              <w:spacing w:after="100" w:before="100"/>
            </w:pPr>
            <w:r>
              <w:rPr>
                <w:b w:val="0"/>
                <w:i w:val="0"/>
                <w:sz w:val="20"/>
              </w:rPr>
              <w:t>23 °C</w:t>
            </w:r>
          </w:p>
        </w:tc>
      </w:tr>
      <w:tr>
        <w:trPr>
          <w:cantSplit/>
        </w:trPr>
        <w:tc>
          <w:tcPr>
            <w:tcW w:type="dxa" w:w="4896"/>
            <w:vAlign w:val="center"/>
            <w:shd w:fill="FFFFFF"/>
          </w:tcPr>
          <w:p>
            <w:pPr>
              <w:spacing w:after="100" w:before="100"/>
            </w:pPr>
            <w:r>
              <w:rPr>
                <w:b w:val="0"/>
                <w:i w:val="0"/>
                <w:sz w:val="20"/>
              </w:rPr>
              <w:t>End condition</w:t>
            </w:r>
          </w:p>
        </w:tc>
        <w:tc>
          <w:tcPr>
            <w:tcW w:type="dxa" w:w="4896"/>
            <w:vAlign w:val="center"/>
            <w:shd w:fill="FFFFFF"/>
          </w:tcPr>
          <w:p>
            <w:pPr>
              <w:spacing w:after="100" w:before="100"/>
            </w:pPr>
            <w:r>
              <w:rPr>
                <w:b w:val="0"/>
                <w:i w:val="0"/>
                <w:sz w:val="20"/>
              </w:rPr>
              <w:t>Closed</w:t>
            </w:r>
          </w:p>
        </w:tc>
      </w:tr>
    </w:tbl>
    <w:p>
      <w:pPr>
        <w:spacing w:after="0"/>
      </w:pPr>
    </w:p>
    <w:p>
      <w:pPr/>
      <w:r>
        <w:rPr>
          <w:b w:val="0"/>
          <w:i w:val="0"/>
        </w:rPr>
        <w:t xml:space="preserve">Input preview from </w:t>
      </w:r>
      <w:hyperlink r:id="rId112">
        <w:r>
          <w:rPr>
            <w:color w:val="176EA4"/>
          </w:rPr>
          <w:t>cds-cylinder-load-case.csv</w:t>
        </w:r>
      </w:hyperlink>
      <w:r>
        <w:t xml:space="preserve"> </w:t>
      </w:r>
      <w:r>
        <w:rPr>
          <w:b w:val="0"/>
          <w:i w:val="0"/>
        </w:rPr>
        <w:t>. Run a compatible solver to obtain the response.</w:t>
      </w:r>
    </w:p>
    <w:p>
      <w:pPr/>
      <w:r>
        <w:rPr>
          <w:b w:val="0"/>
          <w:i w:val="0"/>
        </w:rPr>
        <w:t>Starter files</w:t>
      </w:r>
    </w:p>
    <w:p>
      <w:pPr/>
      <w:r>
        <w:rPr>
          <w:b w:val="0"/>
          <w:i w:val="0"/>
        </w:rPr>
        <w:t>6</w:t>
      </w:r>
      <w:r>
        <w:rPr>
          <w:b w:val="0"/>
          <w:i w:val="0"/>
        </w:rPr>
        <w:t xml:space="preserve"> </w:t>
      </w:r>
      <w:r>
        <w:rPr>
          <w:b w:val="0"/>
          <w:i w:val="0"/>
        </w:rPr>
        <w:t xml:space="preserve"> direct downloads</w:t>
      </w:r>
    </w:p>
    <w:p>
      <w:r>
        <w:rPr>
          <w:b w:val="0"/>
          <w:i w:val="0"/>
        </w:rPr>
        <w:t>01</w:t>
      </w:r>
      <w:r>
        <w:t xml:space="preserve"> </w:t>
      </w:r>
      <w:r>
        <w:rPr>
          <w:b w:val="0"/>
          <w:i w:val="0"/>
        </w:rPr>
        <w:t>Lamina / CSV</w:t>
      </w:r>
      <w:r>
        <w:t xml:space="preserve"> </w:t>
      </w:r>
    </w:p>
    <w:p>
      <w:pPr>
        <w:pStyle w:val="Heading2"/>
      </w:pPr>
      <w:r>
        <w:t>Constituent-to-ply starter</w:t>
      </w:r>
    </w:p>
    <w:p>
      <w:pPr/>
      <w:r>
        <w:rPr>
          <w:b w:val="0"/>
          <w:i w:val="0"/>
        </w:rPr>
        <w:t>A compact carbon-fiber and epoxy definition for beginning a continuous unidirectional micromechanics study.</w:t>
      </w:r>
    </w:p>
    <w:p>
      <w:pPr>
        <w:pStyle w:val="ListBullet"/>
      </w:pPr>
      <w:r>
        <w:rPr>
          <w:b w:val="0"/>
          <w:i w:val="0"/>
        </w:rPr>
        <w:t>Fiber and matrix assignment</w:t>
      </w:r>
    </w:p>
    <w:p>
      <w:pPr>
        <w:pStyle w:val="ListBullet"/>
      </w:pPr>
      <w:r>
        <w:rPr>
          <w:b w:val="0"/>
          <w:i w:val="0"/>
        </w:rPr>
        <w:t>Volume fractions</w:t>
      </w:r>
    </w:p>
    <w:p>
      <w:pPr>
        <w:pStyle w:val="ListBullet"/>
      </w:pPr>
      <w:r>
        <w:rPr>
          <w:b w:val="0"/>
          <w:i w:val="0"/>
        </w:rPr>
        <w:t>Model selection</w:t>
      </w:r>
    </w:p>
    <w:p>
      <w:hyperlink r:id="rId110">
        <w:r>
          <w:rPr>
            <w:color w:val="176EA4"/>
          </w:rPr>
          <w:t>cds-lamina-starter.csv ↓</w:t>
        </w:r>
      </w:hyperlink>
      <w:r>
        <w:t xml:space="preserve"> </w:t>
      </w:r>
    </w:p>
    <w:p>
      <w:r>
        <w:rPr>
          <w:b w:val="0"/>
          <w:i w:val="0"/>
        </w:rPr>
        <w:t>02</w:t>
      </w:r>
      <w:r>
        <w:t xml:space="preserve"> </w:t>
      </w:r>
      <w:r>
        <w:rPr>
          <w:b w:val="0"/>
          <w:i w:val="0"/>
        </w:rPr>
        <w:t>Laminate / CSV</w:t>
      </w:r>
      <w:r>
        <w:t xml:space="preserve"> </w:t>
      </w:r>
    </w:p>
    <w:p>
      <w:pPr>
        <w:pStyle w:val="Heading2"/>
      </w:pPr>
      <w:r>
        <w:t>Symmetric plate layup</w:t>
      </w:r>
    </w:p>
    <w:p>
      <w:pPr/>
      <w:r>
        <w:rPr>
          <w:b w:val="0"/>
          <w:i w:val="0"/>
        </w:rPr>
        <w:t>An eight-ply quasi-isotropic stacking sequence with orientation, thickness, and environmental fields.</w:t>
      </w:r>
    </w:p>
    <w:p>
      <w:pPr>
        <w:pStyle w:val="ListBullet"/>
      </w:pPr>
      <w:r>
        <w:rPr>
          <w:b w:val="0"/>
          <w:i w:val="0"/>
        </w:rPr>
        <w:t>Eight-ply stack</w:t>
      </w:r>
    </w:p>
    <w:p>
      <w:pPr>
        <w:pStyle w:val="ListBullet"/>
      </w:pPr>
      <w:r>
        <w:rPr>
          <w:b w:val="0"/>
          <w:i w:val="0"/>
        </w:rPr>
        <w:t>Symmetric layup</w:t>
      </w:r>
    </w:p>
    <w:p>
      <w:pPr>
        <w:pStyle w:val="ListBullet"/>
      </w:pPr>
      <w:r>
        <w:rPr>
          <w:b w:val="0"/>
          <w:i w:val="0"/>
        </w:rPr>
        <w:t>Thermal and moisture fields</w:t>
      </w:r>
    </w:p>
    <w:p>
      <w:hyperlink r:id="rId111">
        <w:r>
          <w:rPr>
            <w:color w:val="176EA4"/>
          </w:rPr>
          <w:t>cds-laminate-plate.csv ↓</w:t>
        </w:r>
      </w:hyperlink>
      <w:r>
        <w:t xml:space="preserve"> </w:t>
      </w:r>
    </w:p>
    <w:p>
      <w:r>
        <w:rPr>
          <w:b w:val="0"/>
          <w:i w:val="0"/>
        </w:rPr>
        <w:t>03</w:t>
      </w:r>
      <w:r>
        <w:t xml:space="preserve"> </w:t>
      </w:r>
      <w:r>
        <w:rPr>
          <w:b w:val="0"/>
          <w:i w:val="0"/>
        </w:rPr>
        <w:t>Structural / CSV</w:t>
      </w:r>
      <w:r>
        <w:t xml:space="preserve"> </w:t>
      </w:r>
    </w:p>
    <w:p>
      <w:pPr>
        <w:pStyle w:val="Heading2"/>
      </w:pPr>
      <w:r>
        <w:t>Cylinder pressure case</w:t>
      </w:r>
    </w:p>
    <w:p>
      <w:pPr/>
      <w:r>
        <w:rPr>
          <w:b w:val="0"/>
          <w:i w:val="0"/>
        </w:rPr>
        <w:t>A starter pressure-vessel case with geometry, pressure, loading, temperature, and end-condition inputs.</w:t>
      </w:r>
    </w:p>
    <w:p>
      <w:pPr>
        <w:pStyle w:val="ListBullet"/>
      </w:pPr>
      <w:r>
        <w:rPr>
          <w:b w:val="0"/>
          <w:i w:val="0"/>
        </w:rPr>
        <w:t>Cylinder geometry</w:t>
      </w:r>
    </w:p>
    <w:p>
      <w:pPr>
        <w:pStyle w:val="ListBullet"/>
      </w:pPr>
      <w:r>
        <w:rPr>
          <w:b w:val="0"/>
          <w:i w:val="0"/>
        </w:rPr>
        <w:t>Pressure and load inputs</w:t>
      </w:r>
    </w:p>
    <w:p>
      <w:pPr>
        <w:pStyle w:val="ListBullet"/>
      </w:pPr>
      <w:r>
        <w:rPr>
          <w:b w:val="0"/>
          <w:i w:val="0"/>
        </w:rPr>
        <w:t>Closed-end condition</w:t>
      </w:r>
    </w:p>
    <w:p>
      <w:hyperlink r:id="rId112">
        <w:r>
          <w:rPr>
            <w:color w:val="176EA4"/>
          </w:rPr>
          <w:t>cds-cylinder-load-case.csv ↓</w:t>
        </w:r>
      </w:hyperlink>
      <w:r>
        <w:t xml:space="preserve"> </w:t>
      </w:r>
    </w:p>
    <w:p>
      <w:r>
        <w:rPr>
          <w:b w:val="0"/>
          <w:i w:val="0"/>
        </w:rPr>
        <w:t>04</w:t>
      </w:r>
      <w:r>
        <w:t xml:space="preserve"> </w:t>
      </w:r>
      <w:r>
        <w:rPr>
          <w:b w:val="0"/>
          <w:i w:val="0"/>
        </w:rPr>
        <w:t>Script / M</w:t>
      </w:r>
      <w:r>
        <w:t xml:space="preserve"> </w:t>
      </w:r>
    </w:p>
    <w:p>
      <w:pPr>
        <w:pStyle w:val="Heading2"/>
      </w:pPr>
      <w:r>
        <w:t>Plate web-request example</w:t>
      </w:r>
    </w:p>
    <w:p>
      <w:pPr/>
      <w:r>
        <w:rPr>
          <w:b w:val="0"/>
          <w:i w:val="0"/>
        </w:rPr>
        <w:t>A Web r18 simply supported composite plate with center point load, pressure, stability, and vibration outputs.</w:t>
      </w:r>
    </w:p>
    <w:p>
      <w:pPr>
        <w:pStyle w:val="ListBullet"/>
      </w:pPr>
      <w:r>
        <w:rPr>
          <w:b w:val="0"/>
          <w:i w:val="0"/>
        </w:rPr>
        <w:t>Structured request</w:t>
      </w:r>
    </w:p>
    <w:p>
      <w:pPr>
        <w:pStyle w:val="ListBullet"/>
      </w:pPr>
      <w:r>
        <w:rPr>
          <w:b w:val="0"/>
          <w:i w:val="0"/>
        </w:rPr>
        <w:t>Point + distributed load</w:t>
      </w:r>
    </w:p>
    <w:p>
      <w:pPr>
        <w:pStyle w:val="ListBullet"/>
      </w:pPr>
      <w:r>
        <w:rPr>
          <w:b w:val="0"/>
          <w:i w:val="0"/>
        </w:rPr>
        <w:t>Named structural results</w:t>
      </w:r>
    </w:p>
    <w:p>
      <w:hyperlink r:id="rId113">
        <w:r>
          <w:rPr>
            <w:color w:val="176EA4"/>
          </w:rPr>
          <w:t>example_plate_web_r18.m ↓</w:t>
        </w:r>
      </w:hyperlink>
      <w:r>
        <w:t xml:space="preserve"> </w:t>
      </w:r>
    </w:p>
    <w:p>
      <w:r>
        <w:rPr>
          <w:b w:val="0"/>
          <w:i w:val="0"/>
        </w:rPr>
        <w:t>05</w:t>
      </w:r>
      <w:r>
        <w:t xml:space="preserve"> </w:t>
      </w:r>
      <w:r>
        <w:rPr>
          <w:b w:val="0"/>
          <w:i w:val="0"/>
        </w:rPr>
        <w:t>Script / M</w:t>
      </w:r>
      <w:r>
        <w:t xml:space="preserve"> </w:t>
      </w:r>
    </w:p>
    <w:p>
      <w:pPr>
        <w:pStyle w:val="Heading2"/>
      </w:pPr>
      <w:r>
        <w:t>Cylinder web-request example</w:t>
      </w:r>
    </w:p>
    <w:p>
      <w:pPr/>
      <w:r>
        <w:rPr>
          <w:b w:val="0"/>
          <w:i w:val="0"/>
        </w:rPr>
        <w:t>The same pressure-cylinder Recipe evaluated with constant-section shell and Hyer thick-wall formulations.</w:t>
      </w:r>
    </w:p>
    <w:p>
      <w:pPr>
        <w:pStyle w:val="ListBullet"/>
      </w:pPr>
      <w:r>
        <w:rPr>
          <w:b w:val="0"/>
          <w:i w:val="0"/>
        </w:rPr>
        <w:t>Structured request</w:t>
      </w:r>
    </w:p>
    <w:p>
      <w:pPr>
        <w:pStyle w:val="ListBullet"/>
      </w:pPr>
      <w:r>
        <w:rPr>
          <w:b w:val="0"/>
          <w:i w:val="0"/>
        </w:rPr>
        <w:t>Shell / Hyer toggle</w:t>
      </w:r>
    </w:p>
    <w:p>
      <w:pPr>
        <w:pStyle w:val="ListBullet"/>
      </w:pPr>
      <w:r>
        <w:rPr>
          <w:b w:val="0"/>
          <w:i w:val="0"/>
        </w:rPr>
        <w:t>Named cylinder results</w:t>
      </w:r>
    </w:p>
    <w:p>
      <w:hyperlink r:id="rId114">
        <w:r>
          <w:rPr>
            <w:color w:val="176EA4"/>
          </w:rPr>
          <w:t>example_cylinder_web_r18.m ↓</w:t>
        </w:r>
      </w:hyperlink>
      <w:r>
        <w:t xml:space="preserve"> </w:t>
      </w:r>
    </w:p>
    <w:p>
      <w:r>
        <w:rPr>
          <w:b w:val="0"/>
          <w:i w:val="0"/>
        </w:rPr>
        <w:t>06</w:t>
      </w:r>
      <w:r>
        <w:t xml:space="preserve"> </w:t>
      </w:r>
      <w:r>
        <w:rPr>
          <w:b w:val="0"/>
          <w:i w:val="0"/>
        </w:rPr>
        <w:t>Script / M</w:t>
      </w:r>
      <w:r>
        <w:t xml:space="preserve"> </w:t>
      </w:r>
    </w:p>
    <w:p>
      <w:pPr>
        <w:pStyle w:val="Heading2"/>
      </w:pPr>
      <w:r>
        <w:t>Beam web-request example</w:t>
      </w:r>
    </w:p>
    <w:p>
      <w:pPr/>
      <w:r>
        <w:rPr>
          <w:b w:val="0"/>
          <w:i w:val="0"/>
        </w:rPr>
        <w:t>A fixed-fixed laminated I-beam with section, response, energy, buckling, and frequency calculations.</w:t>
      </w:r>
    </w:p>
    <w:p>
      <w:pPr>
        <w:pStyle w:val="ListBullet"/>
      </w:pPr>
      <w:r>
        <w:rPr>
          <w:b w:val="0"/>
          <w:i w:val="0"/>
        </w:rPr>
        <w:t>Structured request</w:t>
      </w:r>
    </w:p>
    <w:p>
      <w:pPr>
        <w:pStyle w:val="ListBullet"/>
      </w:pPr>
      <w:r>
        <w:rPr>
          <w:b w:val="0"/>
          <w:i w:val="0"/>
        </w:rPr>
        <w:t>Five section families</w:t>
      </w:r>
    </w:p>
    <w:p>
      <w:pPr>
        <w:pStyle w:val="ListBullet"/>
      </w:pPr>
      <w:r>
        <w:rPr>
          <w:b w:val="0"/>
          <w:i w:val="0"/>
        </w:rPr>
        <w:t>A/I/J + EI outputs</w:t>
      </w:r>
    </w:p>
    <w:p>
      <w:hyperlink r:id="rId115">
        <w:r>
          <w:rPr>
            <w:color w:val="176EA4"/>
          </w:rPr>
          <w:t>example_beam_web_r18.m ↓</w:t>
        </w:r>
      </w:hyperlink>
      <w:r>
        <w:t xml:space="preserve"> </w:t>
      </w:r>
    </w:p>
    <w:p>
      <w:pPr/>
      <w:r>
        <w:rPr>
          <w:b/>
          <w:i w:val="0"/>
        </w:rPr>
        <w:t>Engineering use:</w:t>
      </w:r>
      <w:r>
        <w:rPr>
          <w:b w:val="0"/>
          <w:i w:val="0"/>
        </w:rPr>
        <w:t xml:space="preserve"> Verify units, material provenance, boundary conditions, release compatibility, and governing allowables before using any example in a design decision.</w:t>
      </w:r>
    </w:p>
    <w:p>
      <w:bookmarkStart w:id="11" w:name="chapter_11"/>
      <w:pPr>
        <w:pStyle w:val="Heading1"/>
        <w:pageBreakBefore/>
      </w:pPr>
      <w:r>
        <w:t>11 CDS Training Manual learn by completing a study</w:t>
      </w:r>
      <w:bookmarkEnd w:id="11"/>
    </w:p>
    <w:p>
      <w:pPr>
        <w:pStyle w:val="Caption"/>
      </w:pPr>
      <w:hyperlink r:id="rId35">
        <w:r>
          <w:rPr>
            <w:color w:val="176EA4"/>
          </w:rPr>
          <w:t>Online chapter</w:t>
        </w:r>
      </w:hyperlink>
      <w:r>
        <w:t xml:space="preserve"> </w:t>
      </w:r>
    </w:p>
    <w:p>
      <w:pPr/>
      <w:r>
        <w:rPr>
          <w:b w:val="0"/>
          <w:i w:val="0"/>
        </w:rPr>
        <w:t>One curriculum shared with Workbench. Choose an exercise, follow its tasks, check the expected behavior, and keep evidence of your results. The User Guide explains the controls; the Theory Manual explains the mathematics.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pStyle w:val="Heading2"/>
      </w:pPr>
      <w:r>
        <w:t>Exercise curriculum</w:t>
      </w:r>
    </w:p>
    <w:p>
      <w:pPr/>
      <w:r>
        <w:rPr>
          <w:b w:val="0"/>
          <w:i w:val="0"/>
        </w:rPr>
        <w:t>Shared CDS database</w:t>
      </w:r>
    </w:p>
    <w:p>
      <w:hyperlink r:id="rId13">
        <w:r>
          <w:rPr>
            <w:color w:val="176EA4"/>
          </w:rPr>
          <w:t>CREATE Design a starting point</w:t>
        </w:r>
      </w:hyperlink>
      <w:r>
        <w:t xml:space="preserve"> </w:t>
      </w:r>
    </w:p>
    <w:p>
      <w:hyperlink r:id="rId14">
        <w:r>
          <w:rPr>
            <w:color w:val="176EA4"/>
          </w:rPr>
          <w:t>DISCOVER Explore the live laminate</w:t>
        </w:r>
      </w:hyperlink>
      <w:r>
        <w:t xml:space="preserve"> </w:t>
      </w:r>
    </w:p>
    <w:p>
      <w:hyperlink r:id="rId15">
        <w:r>
          <w:rPr>
            <w:color w:val="176EA4"/>
          </w:rPr>
          <w:t>SIMULATE Launch Workbench</w:t>
        </w:r>
      </w:hyperlink>
      <w:r>
        <w:t xml:space="preserve"> </w:t>
      </w:r>
    </w:p>
    <w:p>
      <w:r>
        <w:t>Search exercises</w:t>
      </w:r>
    </w:p>
    <w:p>
      <w:r>
        <w:t>Application</w:t>
      </w:r>
    </w:p>
    <w:p>
      <w:r>
        <w:t>Model</w:t>
      </w:r>
    </w:p>
    <w:p>
      <w:r>
        <w:t>Geometry</w:t>
      </w:r>
    </w:p>
    <w:p>
      <w:r>
        <w:t>Resource type</w:t>
      </w:r>
    </w:p>
    <w:p>
      <w:r>
        <w:t>Group / sort by</w:t>
      </w:r>
    </w:p>
    <w:p>
      <w:pPr/>
      <w:r>
        <w:rPr>
          <w:b w:val="0"/>
          <w:i w:val="0"/>
        </w:rPr>
        <w:t>104</w:t>
      </w:r>
      <w:r>
        <w:rPr>
          <w:b w:val="0"/>
          <w:i w:val="0"/>
        </w:rPr>
        <w:t xml:space="preserve"> </w:t>
      </w:r>
      <w:r>
        <w:rPr>
          <w:b w:val="0"/>
          <w:i w:val="0"/>
        </w:rPr>
        <w:t xml:space="preserve"> of </w:t>
      </w:r>
      <w:r>
        <w:rPr>
          <w:b w:val="0"/>
          <w:i w:val="0"/>
        </w:rPr>
        <w:t xml:space="preserve"> </w:t>
      </w:r>
      <w:r>
        <w:rPr>
          <w:b w:val="0"/>
          <w:i w:val="0"/>
        </w:rPr>
        <w:t>104</w:t>
      </w:r>
      <w:r>
        <w:rPr>
          <w:b w:val="0"/>
          <w:i w:val="0"/>
        </w:rPr>
        <w:t xml:space="preserve"> </w:t>
      </w:r>
      <w:r>
        <w:rPr>
          <w:b w:val="0"/>
          <w:i w:val="0"/>
        </w:rPr>
        <w:t xml:space="preserve"> resources</w:t>
      </w:r>
    </w:p>
    <w:p>
      <w:pPr/>
      <w:r>
        <w:rPr>
          <w:b w:val="0"/>
          <w:i w:val="0"/>
        </w:rPr>
        <w:t>Exercises</w:t>
      </w:r>
    </w:p>
    <w:p>
      <w:pPr/>
      <w:r>
        <w:rPr>
          <w:b w:val="0"/>
          <w:i w:val="0"/>
        </w:rPr>
        <w:t>Click to preview · double-click or Enter to open in Workbench.</w:t>
      </w:r>
    </w:p>
    <w:p>
      <w:pPr>
        <w:pStyle w:val="Caption"/>
      </w:pPr>
      <w:r>
        <w:rPr>
          <w:b w:val="0"/>
          <w:i w:val="0"/>
        </w:rPr>
        <w:t xml:space="preserve">Two-row simulation workflow · </w:t>
      </w:r>
      <w:hyperlink r:id="rId116">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36" name="Picture 36" descr="Rule of mixtures: fibre volume fraction two-row simulation workflow with connected input blocks, fatigue and optimization"/>
            <wp:cNvGraphicFramePr>
              <a:graphicFrameLocks noChangeAspect="1"/>
            </wp:cNvGraphicFramePr>
            <a:graphic>
              <a:graphicData uri="http://schemas.openxmlformats.org/drawingml/2006/picture">
                <pic:pic>
                  <pic:nvPicPr>
                    <pic:cNvPr id="0" name="rsvg-fe692bc4740213754b1818178754f8034e51e7f8c2a2c617c7740aeab8c0b023.png"/>
                    <pic:cNvPicPr/>
                  </pic:nvPicPr>
                  <pic:blipFill>
                    <a:blip r:embed="rId117"/>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Rule of mixtures</w:t>
      </w:r>
      <w:r>
        <w:rPr>
          <w:b/>
          <w:i w:val="0"/>
        </w:rPr>
        <w:t xml:space="preserve"> </w:t>
      </w:r>
      <w:r>
        <w:rPr>
          <w:b/>
          <w:i w:val="0"/>
        </w:rPr>
        <w:t xml:space="preserve"> · </w:t>
      </w:r>
      <w:r>
        <w:rPr>
          <w:b/>
          <w:i w:val="0"/>
        </w:rPr>
        <w:t xml:space="preserve"> </w:t>
      </w:r>
      <w:r>
        <w:rPr>
          <w:b/>
          <w:i w:val="0"/>
        </w:rPr>
        <w:t>T700 / EP180 UD · Unidirectional lamina</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CLT · Linear static with failure indices</w:t>
      </w:r>
      <w:r>
        <w:rPr>
          <w:b/>
          <w:i w:val="0"/>
        </w:rPr>
        <w:t xml:space="preserve"> </w:t>
      </w:r>
      <w:r>
        <w:rPr>
          <w:b/>
          <w:i w:val="0"/>
        </w:rPr>
        <w:t xml:space="preserve"> · </w:t>
      </w:r>
      <w:r>
        <w:rPr>
          <w:b/>
          <w:i w:val="0"/>
        </w:rPr>
        <w:t xml:space="preserve"> </w:t>
      </w:r>
      <w:r>
        <w:rPr>
          <w:b/>
          <w:i w:val="0"/>
        </w:rPr>
        <w:t>Plate — Nx Static Validation · Unidirectional lamina</w:t>
      </w:r>
    </w:p>
    <w:p>
      <w:pPr/>
      <w:r>
        <w:rPr>
          <w:b w:val="0"/>
          <w:i w:val="0"/>
        </w:rPr>
        <w:t>Shared laminate stiffness drives this membrane/CLT path. Failure criteria are independent comparisons, not blended models. Fatigue is a separate assessment.</w:t>
      </w:r>
    </w:p>
    <w:p>
      <w:pPr>
        <w:keepNext/>
      </w:pPr>
      <w:r>
        <w:rPr>
          <w:b/>
          <w:i w:val="0"/>
        </w:rPr>
        <w:t>Failure criterion · Maximum stress</w:t>
      </w:r>
    </w:p>
    <w:p>
      <w:pPr/>
      <w:r>
        <w:rPr>
          <w:b w:val="0"/>
          <w:i w:val="0"/>
        </w:rPr>
        <w:t>Primary criterion. Additional envelope comparisons are chosen in Response → Failure; they run independently.</w:t>
      </w:r>
    </w:p>
    <w:p>
      <w:hyperlink r:id="rId20">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Geometry</w:t>
      </w:r>
      <w:r>
        <w:rPr>
          <w:b/>
          <w:i w:val="0"/>
        </w:rPr>
        <w:t xml:space="preserve"> </w:t>
      </w:r>
      <w:r>
        <w:rPr>
          <w:b/>
          <w:i w:val="0"/>
        </w:rPr>
        <w:t xml:space="preserve"> → </w:t>
      </w:r>
      <w:r>
        <w:rPr>
          <w:b/>
          <w:i w:val="0"/>
        </w:rPr>
        <w:t xml:space="preserve"> </w:t>
      </w:r>
      <w:r>
        <w:rPr>
          <w:b/>
          <w:i w:val="0"/>
        </w:rPr>
        <w:t>Mechanical</w:t>
      </w:r>
      <w:r>
        <w:br/>
      </w:r>
      <w:r>
        <w:rPr>
          <w:b w:val="0"/>
          <w:i w:val="0"/>
        </w:rPr>
        <w:t>Shape and dimensions for the selected structural analysis.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r>
        <w:t>Exercise</w:t>
      </w:r>
    </w:p>
    <w:p>
      <w:r>
        <w:t>20</w:t>
      </w:r>
    </w:p>
    <w:p>
      <w:r>
        <w:t>min</w:t>
      </w:r>
    </w:p>
    <w:p>
      <w:pPr>
        <w:pStyle w:val="Heading3"/>
      </w:pPr>
      <w:r>
        <w:t>Rule of mixtures fibre volume fraction</w:t>
      </w:r>
    </w:p>
    <w:p>
      <w:pPr/>
      <w:r>
        <w:rPr>
          <w:b w:val="0"/>
          <w:i w:val="0"/>
        </w:rPr>
        <w:t>1. Getting started</w:t>
      </w:r>
      <w:r>
        <w:rPr>
          <w:b w:val="0"/>
          <w:i w:val="0"/>
        </w:rPr>
        <w:t xml:space="preserve"> </w:t>
      </w:r>
      <w:r>
        <w:rPr>
          <w:b w:val="0"/>
          <w:i w:val="0"/>
        </w:rPr>
        <w:t xml:space="preserve"> · </w:t>
      </w:r>
      <w:r>
        <w:rPr>
          <w:b w:val="0"/>
          <w:i w:val="0"/>
        </w:rPr>
        <w:t xml:space="preserve"> </w:t>
      </w:r>
      <w:r>
        <w:rPr>
          <w:b w:val="0"/>
          <w:i w:val="0"/>
        </w:rPr>
        <w:t>01-rom</w:t>
      </w:r>
    </w:p>
    <w:p>
      <w:pPr/>
      <w:r>
        <w:rPr>
          <w:b w:val="0"/>
          <w:i w:val="0"/>
        </w:rPr>
        <w:t>Application</w:t>
      </w:r>
    </w:p>
    <w:p>
      <w:pPr/>
      <w:r>
        <w:rPr>
          <w:b w:val="0"/>
          <w:i w:val="0"/>
        </w:rPr>
        <w:t>Unidirectional lamina</w:t>
      </w:r>
    </w:p>
    <w:p>
      <w:pPr/>
      <w:r>
        <w:rPr>
          <w:b w:val="0"/>
          <w:i w:val="0"/>
        </w:rPr>
        <w:t>Models</w:t>
      </w:r>
    </w:p>
    <w:p>
      <w:pPr/>
      <w:r>
        <w:rPr>
          <w:b w:val="0"/>
          <w:i w:val="0"/>
        </w:rPr>
        <w:t>Rule of mixtures · Voigt · Reuss</w:t>
      </w:r>
    </w:p>
    <w:p>
      <w:pPr/>
      <w:r>
        <w:rPr>
          <w:b w:val="0"/>
          <w:i w:val="0"/>
        </w:rPr>
        <w:t>Geometry</w:t>
      </w:r>
    </w:p>
    <w:p>
      <w:pPr/>
      <w:r>
        <w:rPr>
          <w:b w:val="0"/>
          <w:i w:val="0"/>
        </w:rPr>
        <w:t>Infinite plate</w:t>
      </w:r>
    </w:p>
    <w:p>
      <w:hyperlink r:id="rId118">
        <w:r>
          <w:rPr>
            <w:color w:val="176EA4"/>
          </w:rPr>
          <w:t>Open in Workbench </w:t>
        </w:r>
      </w:hyperlink>
      <w:r>
        <w:t xml:space="preserve"> </w:t>
      </w:r>
      <w:hyperlink r:id="rId22">
        <w:r>
          <w:rPr>
            <w:color w:val="176EA4"/>
          </w:rPr>
          <w:t>Database downloads in user portal →</w:t>
        </w:r>
      </w:hyperlink>
      <w:r>
        <w:t xml:space="preserve"> </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0.000001713727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0.000001713727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-0.000002845679</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0.31789</w:t>
            </w:r>
          </w:p>
        </w:tc>
        <w:tc>
          <w:tcPr>
            <w:tcW w:type="dxa" w:w="1632"/>
            <w:vAlign w:val="center"/>
            <w:shd w:fill="FFFFFF"/>
          </w:tcPr>
          <w:p>
            <w:pPr>
              <w:spacing w:after="100" w:before="100"/>
            </w:pPr>
            <w:r>
              <w:rPr>
                <w:b w:val="0"/>
                <w:i w:val="0"/>
                <w:sz w:val="18"/>
              </w:rPr>
              <w:t>0.317886</w:t>
            </w:r>
          </w:p>
        </w:tc>
        <w:tc>
          <w:tcPr>
            <w:tcW w:type="dxa" w:w="1632"/>
            <w:vAlign w:val="center"/>
            <w:shd w:fill="FFFFFF"/>
          </w:tcPr>
          <w:p>
            <w:pPr>
              <w:spacing w:after="100" w:before="100"/>
            </w:pPr>
            <w:r>
              <w:rPr>
                <w:b w:val="0"/>
                <w:i w:val="0"/>
                <w:sz w:val="18"/>
              </w:rPr>
              <w:t>0.001260455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E1</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6.41264</w:t>
            </w:r>
          </w:p>
        </w:tc>
        <w:tc>
          <w:tcPr>
            <w:tcW w:type="dxa" w:w="1632"/>
            <w:vAlign w:val="center"/>
            <w:shd w:fill="FFFFFF"/>
          </w:tcPr>
          <w:p>
            <w:pPr>
              <w:spacing w:after="100" w:before="100"/>
            </w:pPr>
            <w:r>
              <w:rPr>
                <w:b w:val="0"/>
                <w:i w:val="0"/>
                <w:sz w:val="18"/>
              </w:rPr>
              <w:t>6.412639</w:t>
            </w:r>
          </w:p>
        </w:tc>
        <w:tc>
          <w:tcPr>
            <w:tcW w:type="dxa" w:w="1632"/>
            <w:vAlign w:val="center"/>
            <w:shd w:fill="FFFFFF"/>
          </w:tcPr>
          <w:p>
            <w:pPr>
              <w:spacing w:after="100" w:before="100"/>
            </w:pPr>
            <w:r>
              <w:rPr>
                <w:b w:val="0"/>
                <w:i w:val="0"/>
                <w:sz w:val="18"/>
              </w:rPr>
              <w:t>0.000009275362</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G12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2.98755</w:t>
            </w:r>
          </w:p>
        </w:tc>
        <w:tc>
          <w:tcPr>
            <w:tcW w:type="dxa" w:w="1632"/>
            <w:vAlign w:val="center"/>
            <w:shd w:fill="FFFFFF"/>
          </w:tcPr>
          <w:p>
            <w:pPr>
              <w:spacing w:after="100" w:before="100"/>
            </w:pPr>
            <w:r>
              <w:rPr>
                <w:b w:val="0"/>
                <w:i w:val="0"/>
                <w:sz w:val="18"/>
              </w:rPr>
              <w:t>2.987552</w:t>
            </w:r>
          </w:p>
        </w:tc>
        <w:tc>
          <w:tcPr>
            <w:tcW w:type="dxa" w:w="1632"/>
            <w:vAlign w:val="center"/>
            <w:shd w:fill="FFFFFF"/>
          </w:tcPr>
          <w:p>
            <w:pPr>
              <w:spacing w:after="100" w:before="100"/>
            </w:pPr>
            <w:r>
              <w:rPr>
                <w:b w:val="0"/>
                <w:i w:val="0"/>
                <w:sz w:val="18"/>
              </w:rPr>
              <w:t>-0.0000625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ν12</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119">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120">
        <w:r>
          <w:rPr>
            <w:color w:val="176EA4"/>
          </w:rPr>
          <w:t>MIT / David Roylance — Introduction to Composites </w:t>
        </w:r>
      </w:hyperlink>
      <w:r>
        <w:t xml:space="preserve"> </w:t>
      </w:r>
      <w:r>
        <w:rPr>
          <w:b w:val="0"/>
          <w:i w:val="0"/>
        </w:rPr>
        <w:t>Equations 1–3, printed pages 3–4</w:t>
      </w:r>
      <w:r>
        <w:rPr>
          <w:b w:val="0"/>
          <w:i w:val="0"/>
        </w:rPr>
        <w:t xml:space="preserve"> </w:t>
      </w:r>
      <w:r>
        <w:rPr>
          <w:b w:val="0"/>
          <w:i w:val="0"/>
        </w:rPr>
        <w:t xml:space="preserve">. </w:t>
      </w:r>
      <w:r>
        <w:rPr>
          <w:b w:val="0"/>
          <w:i w:val="0"/>
        </w:rPr>
        <w:t xml:space="preserve"> </w:t>
      </w:r>
      <w:r>
        <w:rPr>
          <w:b w:val="0"/>
          <w:i w:val="0"/>
        </w:rPr>
        <w:t>Published analytical equations; not experimental material validation.</w:t>
      </w:r>
      <w:r>
        <w:t xml:space="preserve"> </w:t>
      </w:r>
    </w:p>
    <w:p>
      <w:pPr>
        <w:pStyle w:val="Heading3"/>
      </w:pPr>
      <w:r>
        <w:t>Tested inputs</w:t>
      </w:r>
    </w:p>
    <w:p>
      <w:pPr>
        <w:keepNext/>
      </w:pPr>
      <w:r>
        <w:rPr>
          <w:b/>
          <w:i w:val="0"/>
        </w:rPr>
        <w:t>Reference ply list (GPa, mm, degrees)</w:t>
      </w:r>
    </w:p>
    <w:p>
      <w:pPr>
        <w:pStyle w:val="Caption"/>
      </w:pPr>
      <w:r>
        <w:t>[{"e1":139.38,"e2":6.4126394052044615,"g":2.987551867219917,"nu":0.26,"angle":45,"t":0.125},{"e1":139.38,"e2":6.4126394052044615,"g":2.987551867219917,"nu":0.26,"angle":0,"t":0.125},{"e1":139.38,"e2":6.4126394052044615,"g":2.987551867219917,"nu":0.26,"angle":-45,"t":0.125},{"e1":139.38,"e2":6.4126394052044615,"g":2.987551867219917,"nu":0.26,"angle":90,"t":0.125},{"e1":139.38,"e2":6.4126394052044615,"g":2.987551867219917,"nu":0.26,"angle":45,"t":0.125},{"e1":139.38,"e2":6.4126394052044615,"g":2.987551867219917,"nu":0.26,"angle":0,"t":0.125},{"e1":139.38,"e2":6.4126394052044615,"g":2.987551867219917,"nu":0.26,"angle":-45,"t":0.125},{"e1":139.38,"e2":6.4126394052044615,"g":2.987551867219917,"nu":0.26,"angle":90,"t":0.125},{"e1":139.38,"e2":6.4126394052044615,"g":2.987551867219917,"nu":0.26,"angle":90,"t":0.125},{"e1":139.38,"e2":6.4126394052044615,"g":2.987551867219917,"nu":0.26,"angle":-45,"t":0.125},{"e1":139.38,"e2":6.4126394052044615,"g":2.987551867219917,"nu":0.26,"angle":0,"t":0.125},{"e1":139.38,"e2":6.4126394052044615,"g":2.987551867219917,"nu":0.26,"angle":45,"t":0.125},{"e1":139.38,"e2":6.4126394052044615,"g":2.987551867219917,"nu":0.26,"angle":90,"t":0.125},{"e1":139.38,"e2":6.4126394052044615,"g":2.987551867219917,"nu":0.26,"angle":-45,"t":0.125},{"e1":139.38,"e2":6.4126394052044615,"g":2.987551867219917,"nu":0.26,"angle":0,"t":0.125},{"e1":139.38,"e2":6.4126394052044615,"g":2.987551867219917,"nu":0.26,"angle":45,"t":0.125}]</w:t>
      </w:r>
    </w:p>
    <w:p>
      <w:pPr/>
      <w:r>
        <w:rPr>
          <w:b w:val="0"/>
          <w:i w:val="0"/>
        </w:rPr>
        <w:t xml:space="preserve">Input SHA-256: </w:t>
      </w:r>
      <w:r>
        <w:rPr>
          <w:b w:val="0"/>
          <w:i w:val="0"/>
        </w:rPr>
        <w:t xml:space="preserve"> </w:t>
      </w:r>
      <w:r>
        <w:rPr>
          <w:b w:val="0"/>
          <w:i w:val="0"/>
        </w:rPr>
        <w:t>33568bf12395e4ef96259f641b50c3640ee6c9b360aa0ef5e4d14898130dbb28</w:t>
      </w:r>
      <w:r>
        <w:br/>
      </w:r>
      <w:r>
        <w:rPr>
          <w:b w:val="0"/>
          <w:i w:val="0"/>
        </w:rPr>
        <w:t xml:space="preserve">Solver source SHA-256: </w:t>
      </w:r>
      <w:r>
        <w:rPr>
          <w:b w:val="0"/>
          <w:i w:val="0"/>
        </w:rPr>
        <w:t xml:space="preserve"> </w:t>
      </w:r>
      <w:r>
        <w:rPr>
          <w:b w:val="0"/>
          <w:i w:val="0"/>
        </w:rPr>
        <w:t>30c8a614b6cb004a26da8adaf8ab7c534c37c4d534836921939f35a549e1bcc5</w:t>
      </w:r>
    </w:p>
    <w:p>
      <w:pPr>
        <w:pStyle w:val="ListBullet"/>
      </w:pPr>
      <w:r>
        <w:rPr>
          <w:b w:val="0"/>
          <w:i w:val="0"/>
        </w:rPr>
        <w:t>Ideal continuous, aligned reinforcement with zero voids. This is a teaching comparison, not a measured material allowable.</w:t>
      </w:r>
    </w:p>
    <w:p>
      <w:pPr/>
      <w:hyperlink r:id="rId121">
        <w:r>
          <w:rPr>
            <w:color w:val="176EA4"/>
          </w:rPr>
          <w:t>Download source-validation evidence (JSON)</w:t>
        </w:r>
      </w:hyperlink>
      <w:r>
        <w:t xml:space="preserve"> </w:t>
      </w:r>
      <w:r>
        <w:rPr>
          <w:b w:val="0"/>
          <w:i w:val="0"/>
        </w:rPr>
        <w:t xml:space="preserve"> · </w:t>
      </w:r>
      <w:hyperlink r:id="rId25">
        <w:r>
          <w:rPr>
            <w:color w:val="176EA4"/>
          </w:rPr>
          <w:t>Full 104 -exercise study</w:t>
        </w:r>
      </w:hyperlink>
      <w:r>
        <w:t xml:space="preserve"> </w:t>
      </w:r>
    </w:p>
    <w:p>
      <w:pPr>
        <w:pStyle w:val="Heading3"/>
      </w:pPr>
      <w:r>
        <w:t>Prepare the study</w:t>
      </w:r>
    </w:p>
    <w:p>
      <w:pPr>
        <w:pStyle w:val="ListBullet"/>
      </w:pPr>
      <w:r>
        <w:rPr>
          <w:b w:val="0"/>
          <w:i w:val="0"/>
        </w:rPr>
        <w:t>Open this exercise in Workbench. Confirm the selected simulation and follow the workflow arrows to its linked records.</w:t>
      </w:r>
    </w:p>
    <w:p>
      <w:pPr>
        <w:pStyle w:val="ListBullet"/>
      </w:pPr>
      <w:r>
        <w:rPr>
          <w:b w:val="0"/>
          <w:i w:val="0"/>
        </w:rPr>
        <w:t>Review the setup note, units, material sources and model limits below. Preserve shared reference records: duplicate a record before making an independent variation.</w:t>
      </w:r>
    </w:p>
    <w:p>
      <w:pPr>
        <w:pStyle w:val="ListBullet"/>
      </w:pPr>
      <w:r>
        <w:rPr>
          <w:b w:val="0"/>
          <w:i w:val="0"/>
        </w:rPr>
        <w:t>Check the connected input summary and any validation notices before running. A preview diagram is not a solved result.</w:t>
      </w:r>
    </w:p>
    <w:p>
      <w:pPr>
        <w:pStyle w:val="Heading3"/>
      </w:pPr>
      <w:r>
        <w:t>Complete the exercise</w:t>
      </w:r>
    </w:p>
    <w:p>
      <w:pPr>
        <w:pStyle w:val="ListBullet"/>
      </w:pPr>
      <w:r>
        <w:rPr>
          <w:b w:val="0"/>
          <w:i w:val="0"/>
        </w:rPr>
        <w:t>Open the copied Micro record and identify its fibre and matrix materials.</w:t>
      </w:r>
    </w:p>
    <w:p>
      <w:pPr>
        <w:pStyle w:val="ListBullet"/>
      </w:pPr>
      <w:r>
        <w:rPr>
          <w:b w:val="0"/>
          <w:i w:val="0"/>
        </w:rPr>
        <w:t>Set fibre volume fraction to 0.3, 0.5 and 0.7; use Run after each change and record E1, E2 and density from Micro outputs.</w:t>
      </w:r>
    </w:p>
    <w:p>
      <w:pPr>
        <w:pStyle w:val="ListBullet"/>
      </w:pPr>
      <w:r>
        <w:rPr>
          <w:b w:val="0"/>
          <w:i w:val="0"/>
        </w:rPr>
        <w:t>Calculate E1 = Vf Ef + (1 − Vf) Em using the linked constituent moduli and compare with CDS.</w:t>
      </w:r>
    </w:p>
    <w:p>
      <w:pPr>
        <w:pStyle w:val="Heading3"/>
        <w:keepNext/>
      </w:pPr>
      <w:r>
        <w:t>Review checkpoints</w:t>
      </w:r>
    </w:p>
    <w:p>
      <w:pPr>
        <w:pStyle w:val="ListBullet"/>
      </w:pPr>
      <w:r>
        <w:rPr>
          <w:b w:val="0"/>
          <w:i w:val="0"/>
        </w:rPr>
        <w:t>At zero void fraction, constituent fractions sum to one.</w:t>
      </w:r>
    </w:p>
    <w:p>
      <w:pPr>
        <w:pStyle w:val="ListBullet"/>
      </w:pPr>
      <w:r>
        <w:rPr>
          <w:b w:val="0"/>
          <w:i w:val="0"/>
        </w:rPr>
        <w:t>Longitudinal modulus follows the linear mixture calculation; distinguish it from the transverse compliance estimate.</w:t>
      </w:r>
    </w:p>
    <w:p>
      <w:pPr>
        <w:pStyle w:val="Heading3"/>
      </w:pPr>
      <w:r>
        <w:t>Record your conclusion</w:t>
      </w:r>
    </w:p>
    <w:p>
      <w:pPr/>
      <w:r>
        <w:rPr>
          <w:b w:val="0"/>
          <w:i w:val="0"/>
        </w:rPr>
        <w:t>Save the study with its inputs and capture the relevant output plot or table, units, solver notices and the comparison requested above. State whether each checkpoint was met and explain discrepancies. Claim benchmark validation only where the source-validation panel explicitly supports it.</w:t>
      </w:r>
    </w:p>
    <w:p>
      <w:pPr/>
      <w:hyperlink r:id="rId26">
        <w:r>
          <w:rPr>
            <w:color w:val="176EA4"/>
          </w:rPr>
          <w:t>User Guide · operating the Workbench →</w:t>
        </w:r>
      </w:hyperlink>
      <w:r>
        <w:t xml:space="preserve"> </w:t>
      </w:r>
      <w:r>
        <w:rPr>
          <w:b w:val="0"/>
          <w:i w:val="0"/>
        </w:rPr>
        <w:t xml:space="preserve"> · </w:t>
      </w:r>
      <w:hyperlink r:id="rId27">
        <w:r>
          <w:rPr>
            <w:color w:val="176EA4"/>
          </w:rPr>
          <w:t>∑ Theory Manual · equations and assumptions →</w:t>
        </w:r>
      </w:hyperlink>
      <w:r>
        <w:t xml:space="preserve"> </w:t>
      </w:r>
    </w:p>
    <w:p>
      <w:pPr>
        <w:pStyle w:val="Heading3"/>
      </w:pPr>
      <w:r>
        <w:t>Model limits</w:t>
      </w:r>
    </w:p>
    <w:p>
      <w:pPr/>
      <w:r>
        <w:rPr>
          <w:b w:val="0"/>
          <w:i w:val="0"/>
        </w:rPr>
        <w:t>Ideal continuous, aligned reinforcement with zero voids. This is a teaching comparison, not a measured material allowable.</w:t>
      </w:r>
    </w:p>
    <w:p>
      <w:pPr>
        <w:pStyle w:val="Heading3"/>
      </w:pPr>
      <w:r>
        <w:t>Reference material</w:t>
      </w:r>
    </w:p>
    <w:p>
      <w:pPr>
        <w:pStyle w:val="ListBullet"/>
      </w:pPr>
      <w:hyperlink r:id="rId30">
        <w:r>
          <w:rPr>
            <w:color w:val="176EA4"/>
          </w:rPr>
          <w:t>Create and connect a lamina</w:t>
        </w:r>
      </w:hyperlink>
      <w:r>
        <w:t xml:space="preserve"> </w:t>
      </w:r>
    </w:p>
    <w:p>
      <w:pPr>
        <w:pStyle w:val="ListBullet"/>
      </w:pPr>
      <w:hyperlink r:id="rId29">
        <w:r>
          <w:rPr>
            <w:color w:val="176EA4"/>
          </w:rPr>
          <w:t>Edit material properties and units</w:t>
        </w:r>
      </w:hyperlink>
      <w:r>
        <w:t xml:space="preserve"> </w:t>
      </w:r>
    </w:p>
    <w:p>
      <w:pPr>
        <w:pStyle w:val="ListBullet"/>
      </w:pPr>
      <w:hyperlink r:id="rId33">
        <w:r>
          <w:rPr>
            <w:color w:val="176EA4"/>
          </w:rPr>
          <w:t>Run and review a model</w:t>
        </w:r>
      </w:hyperlink>
      <w:r>
        <w:t xml:space="preserve"> </w:t>
      </w:r>
    </w:p>
    <w:p>
      <w:pPr>
        <w:pStyle w:val="ListBullet"/>
      </w:pPr>
      <w:hyperlink r:id="rId31">
        <w:r>
          <w:rPr>
            <w:color w:val="176EA4"/>
          </w:rPr>
          <w:t>Review effective properties</w:t>
        </w:r>
      </w:hyperlink>
      <w:r>
        <w:t xml:space="preserve"> </w:t>
      </w:r>
    </w:p>
    <w:p>
      <w:pPr>
        <w:pStyle w:val="ListBullet"/>
      </w:pPr>
      <w:hyperlink r:id="rId28">
        <w:r>
          <w:rPr>
            <w:color w:val="176EA4"/>
          </w:rPr>
          <w:t>Related case study: NASA lamina analysis</w:t>
        </w:r>
      </w:hyperlink>
      <w:r>
        <w:t xml:space="preserve"> </w:t>
      </w:r>
    </w:p>
    <w:p>
      <w:pPr>
        <w:keepNext/>
      </w:pPr>
      <w:r>
        <w:rPr>
          <w:b/>
          <w:i w:val="0"/>
        </w:rPr>
        <w:t>How the shared curriculum works</w:t>
      </w:r>
    </w:p>
    <w:p>
      <w:pPr>
        <w:pStyle w:val="ListBullet"/>
      </w:pPr>
      <w:r>
        <w:rPr>
          <w:b w:val="0"/>
          <w:i w:val="0"/>
        </w:rPr>
        <w:t>Read the reference</w:t>
      </w:r>
    </w:p>
    <w:p>
      <w:pPr>
        <w:pStyle w:val="ListBullet"/>
      </w:pPr>
      <w:r>
        <w:rPr>
          <w:b w:val="0"/>
          <w:i w:val="0"/>
        </w:rPr>
        <w:t>Select an exercise from the shared CDS database</w:t>
      </w:r>
    </w:p>
    <w:p>
      <w:pPr>
        <w:pStyle w:val="ListBullet"/>
      </w:pPr>
      <w:r>
        <w:rPr>
          <w:b w:val="0"/>
          <w:i w:val="0"/>
        </w:rPr>
        <w:t>Trace inputs in Simulation</w:t>
      </w:r>
    </w:p>
    <w:p>
      <w:pPr>
        <w:pStyle w:val="ListBullet"/>
      </w:pPr>
      <w:r>
        <w:rPr>
          <w:b w:val="0"/>
          <w:i w:val="0"/>
        </w:rPr>
        <w:t>Run and inspect fields</w:t>
      </w:r>
    </w:p>
    <w:p>
      <w:pPr>
        <w:pStyle w:val="ListBullet"/>
      </w:pPr>
      <w:r>
        <w:rPr>
          <w:b w:val="0"/>
          <w:i w:val="0"/>
        </w:rPr>
        <w:t>Compare checkpoints and record limits</w:t>
      </w:r>
    </w:p>
    <w:p>
      <w:pPr/>
      <w:r>
        <w:rPr>
          <w:b w:val="0"/>
          <w:i w:val="0"/>
        </w:rPr>
        <w:t>SIMULATION selects the Thermal, Moisture, Mechanical and EM cases to run, with None available in each slot. Geometry owns shared specimen dimensions; Laminate owns plies and thickness. Each case owns one analysis model, its applied conditions and its applicable cycle; there is no separate Process block. Surrounding blocks manage available records. Run updates results; completed does not mean validated or passed.</w:t>
      </w:r>
    </w:p>
    <w:p>
      <w:pPr/>
      <w:r>
        <w:rPr>
          <w:b w:val="0"/>
          <w:i w:val="0"/>
        </w:rPr>
        <w:t xml:space="preserve">All </w:t>
      </w:r>
      <w:r>
        <w:rPr>
          <w:b w:val="0"/>
          <w:i w:val="0"/>
        </w:rPr>
        <w:t xml:space="preserve"> </w:t>
      </w:r>
      <w:r>
        <w:rPr>
          <w:b w:val="0"/>
          <w:i w:val="0"/>
        </w:rPr>
        <w:t>104</w:t>
      </w:r>
      <w:r>
        <w:rPr>
          <w:b w:val="0"/>
          <w:i w:val="0"/>
        </w:rPr>
        <w:t xml:space="preserve"> </w:t>
      </w:r>
      <w:r>
        <w:rPr>
          <w:b w:val="0"/>
          <w:i w:val="0"/>
        </w:rPr>
        <w:t xml:space="preserve"> exercises select connected records from one shared default database. Opening an exercise does not add duplicate materials. Changes to shared records affect studies using them; duplicate a record for an independent variation. Downloads provide self-contained subsets of that database and require sign-in and an active CDS license. Exercise links open the matching guide; they do not run a solver or replace your database. Historical files remain in a separate portal archive.</w:t>
      </w:r>
    </w:p>
    <w:p>
      <w:pPr/>
      <w:r>
        <w:rPr>
          <w:b w:val="0"/>
          <w:i w:val="0"/>
        </w:rPr>
        <w:t xml:space="preserve">Catalogue revision </w:t>
      </w:r>
      <w:r>
        <w:rPr>
          <w:b w:val="0"/>
          <w:i w:val="0"/>
        </w:rPr>
        <w:t xml:space="preserve"> </w:t>
      </w:r>
      <w:r>
        <w:rPr>
          <w:b w:val="0"/>
          <w:i w:val="0"/>
        </w:rPr>
        <w:t>2026-09-09</w:t>
      </w:r>
      <w:r>
        <w:rPr>
          <w:b w:val="0"/>
          <w:i w:val="0"/>
        </w:rPr>
        <w:t xml:space="preserve"> </w:t>
      </w:r>
      <w:r>
        <w:rPr>
          <w:b w:val="0"/>
          <w:i w:val="0"/>
        </w:rPr>
        <w:t>. Source-data case studies require the setup and calibration described in their guides.</w:t>
      </w:r>
    </w:p>
    <w:p>
      <w:pPr/>
      <w:hyperlink r:id="rId35">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evidence of a successful solve.</w:t>
      </w:r>
    </w:p>
    <w:p>
      <w:pPr>
        <w:keepNext/>
      </w:pPr>
      <w:r>
        <w:t>Good practice</w:t>
      </w:r>
    </w:p>
    <w:p>
      <w:pPr/>
      <w:r>
        <w:rPr>
          <w:b w:val="0"/>
          <w:i w:val="0"/>
        </w:rPr>
        <w:t>Selecting several cases does not add unsupported physics coupling. EM screening studies do not automatically heat the thermal case.</w:t>
      </w:r>
    </w:p>
    <w:p>
      <w:pPr>
        <w:pStyle w:val="Heading2"/>
      </w:pPr>
      <w: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keepNext/>
      </w:pPr>
      <w:r>
        <w:t>Good practice</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bookmarkStart w:id="12" w:name="chapter_12"/>
      <w:pPr>
        <w:pStyle w:val="Heading1"/>
        <w:pageBreakBefore/>
      </w:pPr>
      <w:r>
        <w:t>Rule of mixtures fibre volume fraction</w:t>
      </w:r>
      <w:bookmarkEnd w:id="12"/>
    </w:p>
    <w:p>
      <w:pPr>
        <w:pStyle w:val="Caption"/>
      </w:pPr>
      <w:hyperlink r:id="rId35">
        <w:r>
          <w:rPr>
            <w:color w:val="176EA4"/>
          </w:rPr>
          <w:t>Online chapter</w:t>
        </w:r>
      </w:hyperlink>
      <w:r>
        <w:t xml:space="preserve"> </w:t>
      </w:r>
    </w:p>
    <w:p>
      <w:r>
        <w:t>Unidirectional lamina. Infinite plate. Models: Rule of mixtures, Voigt, Reuss.</w:t>
      </w:r>
    </w:p>
    <w:p>
      <w:hyperlink r:id="rId118">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37" name="Picture 37" descr="CDS workflow or model illustration"/>
            <wp:cNvGraphicFramePr>
              <a:graphicFrameLocks noChangeAspect="1"/>
            </wp:cNvGraphicFramePr>
            <a:graphic>
              <a:graphicData uri="http://schemas.openxmlformats.org/drawingml/2006/picture">
                <pic:pic>
                  <pic:nvPicPr>
                    <pic:cNvPr id="0" name="rsvg-fe692bc4740213754b1818178754f8034e51e7f8c2a2c617c7740aeab8c0b023.png"/>
                    <pic:cNvPicPr/>
                  </pic:nvPicPr>
                  <pic:blipFill>
                    <a:blip r:embed="rId117"/>
                    <a:stretch>
                      <a:fillRect/>
                    </a:stretch>
                  </pic:blipFill>
                  <pic:spPr>
                    <a:xfrm>
                      <a:off x="0" y="0"/>
                      <a:ext cx="6217920" cy="3067645"/>
                    </a:xfrm>
                    <a:prstGeom prst="rect"/>
                  </pic:spPr>
                </pic:pic>
              </a:graphicData>
            </a:graphic>
          </wp:inline>
        </w:drawing>
      </w:r>
    </w:p>
    <w:p>
      <w:pPr>
        <w:pStyle w:val="Heading2"/>
      </w:pPr>
      <w:r>
        <w:t>Tasks</w:t>
      </w:r>
    </w:p>
    <w:p>
      <w:r>
        <w:t>Open the copied Micro record and identify its fibre and matrix materials.</w:t>
      </w:r>
    </w:p>
    <w:p>
      <w:r>
        <w:t>Set fibre volume fraction to 0.3, 0.5 and 0.7; use Run after each change and record E1, E2 and density from Micro outputs.</w:t>
      </w:r>
    </w:p>
    <w:p>
      <w:r>
        <w:t>Calculate E1 = Vf Ef + (1 − Vf) Em using the linked constituent moduli and compare with CDS.</w:t>
      </w:r>
    </w:p>
    <w:p>
      <w:pPr>
        <w:pStyle w:val="Heading2"/>
      </w:pPr>
      <w:r>
        <w:t>Checkpoints</w:t>
      </w:r>
    </w:p>
    <w:p>
      <w:r>
        <w:t>At zero void fraction, constituent fractions sum to one.</w:t>
      </w:r>
    </w:p>
    <w:p>
      <w:r>
        <w:t>Longitudinal modulus follows the linear mixture calculation; distinguish it from the transverse compliance estimate.</w:t>
      </w:r>
    </w:p>
    <w:p>
      <w:pPr>
        <w:pStyle w:val="Heading2"/>
      </w:pPr>
      <w:r>
        <w:t>Model limits</w:t>
      </w:r>
    </w:p>
    <w:p>
      <w:r>
        <w:t>Ideal continuous, aligned reinforcement with zero voids. This is a teaching comparison, not a measured material allowable.</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Ideal continuous, aligned reinforcement with zero voids. This is a teaching comparison, not a measured material allowable.</w:t>
      </w:r>
    </w:p>
    <w:p>
      <w:hyperlink r:id="rId121">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Rule of mixtures. One compatible homogenization model per Micro recipe. Separate recipes compare models; their predictions are not blended.</w:t>
      </w:r>
    </w:p>
    <w:p>
      <w:hyperlink r:id="rId19">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30">
        <w:r>
          <w:rPr>
            <w:color w:val="176EA4"/>
          </w:rPr>
          <w:t>Create and connect a lamina</w:t>
        </w:r>
      </w:hyperlink>
      <w:r>
        <w:t xml:space="preserve"> </w:t>
      </w:r>
    </w:p>
    <w:p>
      <w:hyperlink r:id="rId29">
        <w:r>
          <w:rPr>
            <w:color w:val="176EA4"/>
          </w:rPr>
          <w:t>Edit material properties and units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pPr>
        <w:keepNext/>
      </w:pPr>
      <w:hyperlink r:id="rId28">
        <w:r>
          <w:rPr>
            <w:color w:val="176EA4"/>
          </w:rPr>
          <w:t>Related case study: NASA lamina analysis</w:t>
        </w:r>
      </w:hyperlink>
      <w:r>
        <w:t xml:space="preserve"> </w:t>
      </w:r>
    </w:p>
    <w:p>
      <w:r>
        <w:t>Record the inputs, units, solver notices and checkpoint results before drawing a conclusion. When exploring a variation, change one factor at a time and compare it with the original case.</w:t>
      </w:r>
    </w:p>
    <w:p>
      <w:bookmarkStart w:id="13" w:name="chapter_13"/>
      <w:pPr>
        <w:pStyle w:val="Heading1"/>
        <w:pageBreakBefore/>
      </w:pPr>
      <w:r>
        <w:t>Compare transverse micromechanics models</w:t>
      </w:r>
      <w:bookmarkEnd w:id="13"/>
    </w:p>
    <w:p>
      <w:pPr>
        <w:pStyle w:val="Caption"/>
      </w:pPr>
      <w:hyperlink r:id="rId35">
        <w:r>
          <w:rPr>
            <w:color w:val="176EA4"/>
          </w:rPr>
          <w:t>Online chapter</w:t>
        </w:r>
      </w:hyperlink>
      <w:r>
        <w:t xml:space="preserve"> </w:t>
      </w:r>
    </w:p>
    <w:p>
      <w:r>
        <w:t>Unidirectional lamina. Infinite plate. Models: Halpin–Tsai, Rule of mixtures.</w:t>
      </w:r>
    </w:p>
    <w:p>
      <w:hyperlink r:id="rId122">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38" name="Picture 38" descr="CDS workflow or model illustration"/>
            <wp:cNvGraphicFramePr>
              <a:graphicFrameLocks noChangeAspect="1"/>
            </wp:cNvGraphicFramePr>
            <a:graphic>
              <a:graphicData uri="http://schemas.openxmlformats.org/drawingml/2006/picture">
                <pic:pic>
                  <pic:nvPicPr>
                    <pic:cNvPr id="0" name="rsvg-b099a310636cf2e3a8dfc5508e2e5beefd46c4676dfc345539280313bc325b2d.png"/>
                    <pic:cNvPicPr/>
                  </pic:nvPicPr>
                  <pic:blipFill>
                    <a:blip r:embed="rId123"/>
                    <a:stretch>
                      <a:fillRect/>
                    </a:stretch>
                  </pic:blipFill>
                  <pic:spPr>
                    <a:xfrm>
                      <a:off x="0" y="0"/>
                      <a:ext cx="6217920" cy="3067645"/>
                    </a:xfrm>
                    <a:prstGeom prst="rect"/>
                  </pic:spPr>
                </pic:pic>
              </a:graphicData>
            </a:graphic>
          </wp:inline>
        </w:drawing>
      </w:r>
    </w:p>
    <w:p>
      <w:pPr>
        <w:pStyle w:val="Heading2"/>
      </w:pPr>
      <w:r>
        <w:t>Tasks</w:t>
      </w:r>
    </w:p>
    <w:p>
      <w:r>
        <w:t>Run the supplied Halpin–Tsai Micro recipe and record E1, E2 and G12.</w:t>
      </w:r>
    </w:p>
    <w:p>
      <w:r>
        <w:t>Change only the micromechanics model to Rule of mixtures and rerun.</w:t>
      </w:r>
    </w:p>
    <w:p>
      <w:r>
        <w:t>Restore Halpin–Tsai; vary fibre volume fraction while holding the constituent data fixed.</w:t>
      </w:r>
    </w:p>
    <w:p>
      <w:pPr>
        <w:pStyle w:val="Heading2"/>
      </w:pPr>
      <w:r>
        <w:t>Checkpoints</w:t>
      </w:r>
    </w:p>
    <w:p>
      <w:r>
        <w:t>Compare transverse and shear predictions at identical fractions.</w:t>
      </w:r>
    </w:p>
    <w:p>
      <w:r>
        <w:t>Explain why different homogenization assumptions give different transverse properties.</w:t>
      </w:r>
    </w:p>
    <w:p>
      <w:pPr>
        <w:pStyle w:val="Heading2"/>
      </w:pPr>
      <w:r>
        <w:t>Model limits</w:t>
      </w:r>
    </w:p>
    <w:p>
      <w:r>
        <w:t>Use the editable model inputs and their documented assumptions; matching a trend does not validate a strength prediction.</w:t>
      </w:r>
    </w:p>
    <w:p>
      <w:pPr>
        <w:pStyle w:val="Heading2"/>
      </w:pPr>
      <w:r>
        <w:t>Recorded validation</w:t>
      </w:r>
    </w:p>
    <w:p>
      <w:r>
        <w:t>2026-09-18 — Not benchmark validated: No matched quantitative reference comparison completed for the full exercise.</w:t>
      </w:r>
    </w:p>
    <w:p>
      <w:r>
        <w:t>Use the editable model inputs and their documented assumptions; matching a trend does not validate a strength prediction.</w:t>
      </w:r>
    </w:p>
    <w:p>
      <w:hyperlink r:id="rId124">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30">
        <w:r>
          <w:rPr>
            <w:color w:val="176EA4"/>
          </w:rPr>
          <w:t>Create and connect a lamina</w:t>
        </w:r>
      </w:hyperlink>
      <w:r>
        <w:t xml:space="preserve"> </w:t>
      </w:r>
    </w:p>
    <w:p>
      <w:hyperlink r:id="rId31">
        <w:r>
          <w:rPr>
            <w:color w:val="176EA4"/>
          </w:rPr>
          <w:t>Review effective properties</w:t>
        </w:r>
      </w:hyperlink>
      <w:r>
        <w:t xml:space="preserve"> </w:t>
      </w:r>
    </w:p>
    <w:p>
      <w:hyperlink r:id="rId33">
        <w:r>
          <w:rPr>
            <w:color w:val="176EA4"/>
          </w:rPr>
          <w:t>Run and review a model</w:t>
        </w:r>
      </w:hyperlink>
      <w:r>
        <w:t xml:space="preserve"> </w:t>
      </w:r>
    </w:p>
    <w:p>
      <w:pPr>
        <w:keepNext/>
      </w:pPr>
      <w:hyperlink r:id="rId28">
        <w:r>
          <w:rPr>
            <w:color w:val="176EA4"/>
          </w:rPr>
          <w:t>Related case study: NASA lamina analysis</w:t>
        </w:r>
      </w:hyperlink>
      <w:r>
        <w:t xml:space="preserve"> </w:t>
      </w:r>
    </w:p>
    <w:p>
      <w:r>
        <w:t>Record the inputs, units, solver notices and checkpoint results before drawing a conclusion. When exploring a variation, change one factor at a time and compare it with the original case.</w:t>
      </w:r>
    </w:p>
    <w:p>
      <w:bookmarkStart w:id="14" w:name="chapter_14"/>
      <w:pPr>
        <w:pStyle w:val="Heading1"/>
        <w:pageBreakBefore/>
      </w:pPr>
      <w:r>
        <w:t>Short fibers aspect ratio and shear-lag transfer</w:t>
      </w:r>
      <w:bookmarkEnd w:id="14"/>
    </w:p>
    <w:p>
      <w:pPr>
        <w:pStyle w:val="Caption"/>
      </w:pPr>
      <w:hyperlink r:id="rId35">
        <w:r>
          <w:rPr>
            <w:color w:val="176EA4"/>
          </w:rPr>
          <w:t>Online chapter</w:t>
        </w:r>
      </w:hyperlink>
      <w:r>
        <w:t xml:space="preserve"> </w:t>
      </w:r>
    </w:p>
    <w:p>
      <w:r>
        <w:t>Aligned short-fiber lamina. Infinite plate. Models: Cox shear-lag elastic, Classical laminate theory, Maximum stress.</w:t>
      </w:r>
    </w:p>
    <w:p>
      <w:hyperlink r:id="rId125">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39" name="Picture 39" descr="CDS workflow or model illustration"/>
            <wp:cNvGraphicFramePr>
              <a:graphicFrameLocks noChangeAspect="1"/>
            </wp:cNvGraphicFramePr>
            <a:graphic>
              <a:graphicData uri="http://schemas.openxmlformats.org/drawingml/2006/picture">
                <pic:pic>
                  <pic:nvPicPr>
                    <pic:cNvPr id="0" name="rsvg-df014d161f92fe7c466d06f71852543d5c36eed24ce69d3224004b4551002632.png"/>
                    <pic:cNvPicPr/>
                  </pic:nvPicPr>
                  <pic:blipFill>
                    <a:blip r:embed="rId126"/>
                    <a:stretch>
                      <a:fillRect/>
                    </a:stretch>
                  </pic:blipFill>
                  <pic:spPr>
                    <a:xfrm>
                      <a:off x="0" y="0"/>
                      <a:ext cx="6217920" cy="3067645"/>
                    </a:xfrm>
                    <a:prstGeom prst="rect"/>
                  </pic:spPr>
                </pic:pic>
              </a:graphicData>
            </a:graphic>
          </wp:inline>
        </w:drawing>
      </w:r>
    </w:p>
    <w:p>
      <w:pPr>
        <w:pStyle w:val="Heading2"/>
      </w:pPr>
      <w:r>
        <w:t>Tasks</w:t>
      </w:r>
    </w:p>
    <w:p>
      <w:r>
        <w:t>Open Micro: identify length 0.35 mm, diameter 7 µm and derived L/d = 50. Inspect the linked constituent moduli.</w:t>
      </w:r>
    </w:p>
    <w:p>
      <w:r>
        <w:t>Run at lengths 0.07, 0.35 and 3.5 mm, keeping diameter fixed. Compare E1, shear-lag efficiency and elastic transfer length in Micro outputs.</w:t>
      </w:r>
    </w:p>
    <w:p>
      <w:r>
        <w:t>Double both length and diameter. Rerun and explain why aspect ratio and elastic stiffness are unchanged.</w:t>
      </w:r>
    </w:p>
    <w:p>
      <w:r>
        <w:t>Open Response → Failure. Compare the available classical criteria using the independent teaching allowables in Micro → Strength &amp; failure; do not interpret them as measured T700 short-fiber strengths.</w:t>
      </w:r>
    </w:p>
    <w:p>
      <w:pPr>
        <w:pStyle w:val="Heading2"/>
      </w:pPr>
      <w:r>
        <w:t>Checkpoints</w:t>
      </w:r>
    </w:p>
    <w:p>
      <w:r>
        <w:t>Efficiency increases toward one as aspect ratio increases; E1 approaches the aligned continuous-fiber mixture limit.</w:t>
      </w:r>
    </w:p>
    <w:p>
      <w:r>
        <w:t>RVE progressive failure remains disabled. Cox predicts elastic transfer, not critical break length or damage evolution.</w:t>
      </w:r>
    </w:p>
    <w:p>
      <w:r>
        <w:t>Strength values in this exercise are illustrative assumptions, not predictions or qualified allowables.</w:t>
      </w:r>
    </w:p>
    <w:p>
      <w:pPr>
        <w:pStyle w:val="Heading2"/>
      </w:pPr>
      <w:r>
        <w:t>Model limits</w:t>
      </w:r>
    </w:p>
    <w:p>
      <w:r>
        <w:t>Aligned monodisperse elastic fibers, perfect interface and concentric-cell shear lag. Halpin–Tsai transverse/shear screening closure. Existing constituent data are reused; the short-fiber composite and its strength allowables are a hypothetical teaching system.</w:t>
      </w:r>
    </w:p>
    <w:p>
      <w:pPr>
        <w:pStyle w:val="Heading2"/>
      </w:pPr>
      <w:r>
        <w:t>Recorded validation</w:t>
      </w:r>
    </w:p>
    <w:p>
      <w:r>
        <w:t>2026-09-18 — Not benchmark validated: No matched quantitative reference comparison completed for the full exercise.</w:t>
      </w:r>
    </w:p>
    <w:p>
      <w:r>
        <w:t>Aligned monodisperse elastic fibers, perfect interface and concentric-cell shear lag. Halpin–Tsai transverse/shear screening closure. Existing constituent data are reused; the short-fiber composite and its strength allowables are a hypothetical teaching system.</w:t>
      </w:r>
    </w:p>
    <w:p>
      <w:hyperlink r:id="rId127">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Cox shear-lag elastic. One compatible homogenization model per Micro recipe. Separate recipes compare models; their predictions are not blended.</w:t>
      </w:r>
    </w:p>
    <w:p>
      <w:hyperlink r:id="rId19">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30">
        <w:r>
          <w:rPr>
            <w:color w:val="176EA4"/>
          </w:rPr>
          <w:t>Create and connect a lamina</w:t>
        </w:r>
      </w:hyperlink>
      <w:r>
        <w:t xml:space="preserve"> </w:t>
      </w:r>
    </w:p>
    <w:p>
      <w:hyperlink r:id="rId29">
        <w:r>
          <w:rPr>
            <w:color w:val="176EA4"/>
          </w:rPr>
          <w:t>Edit material properties and units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hyperlink r:id="rId128">
        <w:r>
          <w:rPr>
            <w:color w:val="176EA4"/>
          </w:rPr>
          <w:t>Edit laminate materials, angles and thicknesses</w:t>
        </w:r>
      </w:hyperlink>
      <w:r>
        <w:t xml:space="preserve"> </w:t>
      </w:r>
    </w:p>
    <w:p>
      <w:pPr>
        <w:keepNext/>
      </w:pPr>
      <w:hyperlink r:id="rId28">
        <w:r>
          <w:rPr>
            <w:color w:val="176EA4"/>
          </w:rPr>
          <w:t>Related case study: NASA lamina analysis</w:t>
        </w:r>
      </w:hyperlink>
      <w:r>
        <w:t xml:space="preserve"> </w:t>
      </w:r>
    </w:p>
    <w:p>
      <w:r>
        <w:t>Record the inputs, units, solver notices and checkpoint results before drawing a conclusion. When exploring a variation, change one factor at a time and compare it with the original case.</w:t>
      </w:r>
    </w:p>
    <w:p>
      <w:bookmarkStart w:id="15" w:name="chapter_15"/>
      <w:pPr>
        <w:pStyle w:val="Heading1"/>
        <w:pageBreakBefore/>
      </w:pPr>
      <w:r>
        <w:t>01 Rule of mixtures continuous fibers</w:t>
      </w:r>
      <w:bookmarkEnd w:id="15"/>
    </w:p>
    <w:p>
      <w:pPr>
        <w:pStyle w:val="Caption"/>
      </w:pPr>
      <w:hyperlink r:id="rId35">
        <w:r>
          <w:rPr>
            <w:color w:val="176EA4"/>
          </w:rPr>
          <w:t>Online chapter</w:t>
        </w:r>
      </w:hyperlink>
      <w:r>
        <w:t xml:space="preserve"> </w:t>
      </w:r>
    </w:p>
    <w:p>
      <w:r>
        <w:t>Unidirectional lamina. Infinite plate. Models: Rule of mixtures, Voigt, Reuss.</w:t>
      </w:r>
    </w:p>
    <w:p>
      <w:hyperlink r:id="rId129">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40" name="Picture 40" descr="CDS workflow or model illustration"/>
            <wp:cNvGraphicFramePr>
              <a:graphicFrameLocks noChangeAspect="1"/>
            </wp:cNvGraphicFramePr>
            <a:graphic>
              <a:graphicData uri="http://schemas.openxmlformats.org/drawingml/2006/picture">
                <pic:pic>
                  <pic:nvPicPr>
                    <pic:cNvPr id="0" name="rsvg-0be1068b3d9e62d9f031c2c7c73ea9fcc35bd1934c7b78677a67519cb42bb06d.png"/>
                    <pic:cNvPicPr/>
                  </pic:nvPicPr>
                  <pic:blipFill>
                    <a:blip r:embed="rId130"/>
                    <a:stretch>
                      <a:fillRect/>
                    </a:stretch>
                  </pic:blipFill>
                  <pic:spPr>
                    <a:xfrm>
                      <a:off x="0" y="0"/>
                      <a:ext cx="6217920" cy="3067645"/>
                    </a:xfrm>
                    <a:prstGeom prst="rect"/>
                  </pic:spPr>
                </pic:pic>
              </a:graphicData>
            </a:graphic>
          </wp:inline>
        </w:drawing>
      </w:r>
    </w:p>
    <w:p>
      <w:pPr>
        <w:pStyle w:val="Heading2"/>
      </w:pPr>
      <w:r>
        <w:t>Tasks</w:t>
      </w:r>
    </w:p>
    <w:p>
      <w:r>
        <w:t>Open the copied Micro record and identify its fibre and matrix materials.</w:t>
      </w:r>
    </w:p>
    <w:p>
      <w:r>
        <w:t>Set fibre volume fraction to 0.3, 0.5 and 0.7; use Run after each change and record E1, E2 and density from Micro outputs.</w:t>
      </w:r>
    </w:p>
    <w:p>
      <w:r>
        <w:t>Calculate E1 = Vf Ef + (1 − Vf) Em using the linked constituent moduli and compare with CDS.</w:t>
      </w:r>
    </w:p>
    <w:p>
      <w:pPr>
        <w:pStyle w:val="Heading2"/>
      </w:pPr>
      <w:r>
        <w:t>Checkpoints</w:t>
      </w:r>
    </w:p>
    <w:p>
      <w:r>
        <w:t>At zero void fraction, constituent fractions sum to one.</w:t>
      </w:r>
    </w:p>
    <w:p>
      <w:r>
        <w:t>Longitudinal modulus follows the linear mixture calculation; distinguish it from the transverse compliance estimate.</w:t>
      </w:r>
    </w:p>
    <w:p>
      <w:pPr>
        <w:pStyle w:val="Heading2"/>
      </w:pPr>
      <w:r>
        <w:t>Model limits</w:t>
      </w:r>
    </w:p>
    <w:p>
      <w:r>
        <w:t>Ideal continuous, aligned reinforcement with zero voids. This is a teaching comparison, not a measured material allowable.</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Ideal continuous, aligned reinforcement with zero voids. This is a teaching comparison, not a measured material allowable.</w:t>
      </w:r>
    </w:p>
    <w:p>
      <w:hyperlink r:id="rId131">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Rule of mixtures. One compatible homogenization model per Micro recipe. Separate recipes compare models; their predictions are not blended.</w:t>
      </w:r>
    </w:p>
    <w:p>
      <w:hyperlink r:id="rId19">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30">
        <w:r>
          <w:rPr>
            <w:color w:val="176EA4"/>
          </w:rPr>
          <w:t>Create and connect a lamina</w:t>
        </w:r>
      </w:hyperlink>
      <w:r>
        <w:t xml:space="preserve"> </w:t>
      </w:r>
    </w:p>
    <w:p>
      <w:hyperlink r:id="rId29">
        <w:r>
          <w:rPr>
            <w:color w:val="176EA4"/>
          </w:rPr>
          <w:t>Edit material properties and units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pPr>
        <w:keepNext/>
      </w:pPr>
      <w:hyperlink r:id="rId28">
        <w:r>
          <w:rPr>
            <w:color w:val="176EA4"/>
          </w:rPr>
          <w:t>Related case study: NASA lamina analysis</w:t>
        </w:r>
      </w:hyperlink>
      <w:r>
        <w:t xml:space="preserve"> </w:t>
      </w:r>
    </w:p>
    <w:p>
      <w:r>
        <w:t>Record the inputs, units, solver notices and checkpoint results before drawing a conclusion. When exploring a variation, change one factor at a time and compare it with the original case.</w:t>
      </w:r>
    </w:p>
    <w:p>
      <w:bookmarkStart w:id="16" w:name="chapter_16"/>
      <w:pPr>
        <w:pStyle w:val="Heading1"/>
        <w:pageBreakBefore/>
      </w:pPr>
      <w:r>
        <w:t>FSDT plate bending thin-to-thick comparison</w:t>
      </w:r>
      <w:bookmarkEnd w:id="16"/>
    </w:p>
    <w:p>
      <w:pPr>
        <w:pStyle w:val="Caption"/>
      </w:pPr>
      <w:hyperlink r:id="rId35">
        <w:r>
          <w:rPr>
            <w:color w:val="176EA4"/>
          </w:rPr>
          <w:t>Online chapter</w:t>
        </w:r>
      </w:hyperlink>
      <w:r>
        <w:t xml:space="preserve"> </w:t>
      </w:r>
    </w:p>
    <w:p>
      <w:r>
        <w:t>Plate transverse bending. Finite rectangular plate. Models: FSDT, Classical laminate theory, Transverse shear, Static bending.</w:t>
      </w:r>
    </w:p>
    <w:p>
      <w:hyperlink r:id="rId132">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41" name="Picture 41" descr="CDS workflow or model illustration"/>
            <wp:cNvGraphicFramePr>
              <a:graphicFrameLocks noChangeAspect="1"/>
            </wp:cNvGraphicFramePr>
            <a:graphic>
              <a:graphicData uri="http://schemas.openxmlformats.org/drawingml/2006/picture">
                <pic:pic>
                  <pic:nvPicPr>
                    <pic:cNvPr id="0" name="rsvg-ec4bd9262e7d84a39c1ff9c2697b38689ff58530c2cc514b2310c5ba2f4ecc29.png"/>
                    <pic:cNvPicPr/>
                  </pic:nvPicPr>
                  <pic:blipFill>
                    <a:blip r:embed="rId133"/>
                    <a:stretch>
                      <a:fillRect/>
                    </a:stretch>
                  </pic:blipFill>
                  <pic:spPr>
                    <a:xfrm>
                      <a:off x="0" y="0"/>
                      <a:ext cx="6217920" cy="3067645"/>
                    </a:xfrm>
                    <a:prstGeom prst="rect"/>
                  </pic:spPr>
                </pic:pic>
              </a:graphicData>
            </a:graphic>
          </wp:inline>
        </w:drawing>
      </w:r>
    </w:p>
    <w:p>
      <w:pPr>
        <w:pStyle w:val="Heading2"/>
      </w:pPr>
      <w:r>
        <w:t>Tasks</w:t>
      </w:r>
    </w:p>
    <w:p>
      <w:r>
        <w:t>Open Simulation and trace stored material → shared laminate → finite Plate Geometry → FSDT Loading. Confirm G13 and G23 are supplied.</w:t>
      </w:r>
    </w:p>
    <w:p>
      <w:r>
        <w:t>Run Static bending; inspect physical w, section rotations and Qx/Qy, including both cursor sections.</w:t>
      </w:r>
    </w:p>
    <w:p>
      <w:r>
        <w:t>Change thickness and rerun. For modal comparison set Plate pressure to zero and Nx/Ny/Nxy to zero before selecting Modal.</w:t>
      </w:r>
    </w:p>
    <w:p>
      <w:r>
        <w:t>Increase Ritz order from 6 to 8 and compare displacement or the lowest retained eigenvalues.</w:t>
      </w:r>
    </w:p>
    <w:p>
      <w:pPr>
        <w:pStyle w:val="Heading2"/>
      </w:pPr>
      <w:r>
        <w:t>Checkpoints</w:t>
      </w:r>
    </w:p>
    <w:p>
      <w:r>
        <w:t>Geometry owns length/width; Laminate owns all ply thicknesses.</w:t>
      </w:r>
    </w:p>
    <w:p>
      <w:r>
        <w:t>CLT and FSDT share A/B/D. As and rotary inertia extend the structural formulation.</w:t>
      </w:r>
    </w:p>
    <w:p>
      <w:r>
        <w:t>Completed is not a material, strength, interface or delamination validation pass.</w:t>
      </w:r>
    </w:p>
    <w:p>
      <w:pPr>
        <w:pStyle w:val="Heading2"/>
      </w:pPr>
      <w:r>
        <w:t>Model limits</w:t>
      </w:r>
    </w:p>
    <w:p>
      <w: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pStyle w:val="Heading2"/>
      </w:pPr>
      <w:r>
        <w:t>Recorded validation</w:t>
      </w:r>
    </w:p>
    <w:p>
      <w:r>
        <w:t>2026-09-18 — Not benchmark validated: No matched quantitative reference comparison completed for the full exercise.</w:t>
      </w:r>
    </w:p>
    <w:p>
      <w: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hyperlink r:id="rId134">
        <w:r>
          <w:rPr>
            <w:color w:val="176EA4"/>
          </w:rPr>
          <w:t>Validation evidence and tested inputs</w:t>
        </w:r>
      </w:hyperlink>
      <w:r>
        <w:t xml:space="preserve"> </w:t>
      </w:r>
    </w:p>
    <w:p>
      <w:pPr>
        <w:pStyle w:val="Heading2"/>
      </w:pPr>
      <w:r>
        <w:t>Connected models and submodels</w:t>
      </w:r>
    </w:p>
    <w:p>
      <w:r>
        <w:t>FSDT · Finite plate. Automatic selects FSDT for sandwich architecture and CLT otherwise. Static bending requires FSDT. Finite-plate studies do not consume process links or run progressive failure/fatigue.</w:t>
      </w:r>
    </w:p>
    <w:p>
      <w:hyperlink r:id="rId135">
        <w:r>
          <w:rPr>
            <w:color w:val="176EA4"/>
          </w:rPr>
          <w:t>Theory and assumptions</w:t>
        </w:r>
      </w:hyperlink>
      <w:r>
        <w:t xml:space="preserve"> </w:t>
      </w:r>
    </w:p>
    <w:p>
      <w:r>
        <w:t>Study · Static bending. Reference-elastic plate study; progressive failure and fatigue are not evaluated here.</w:t>
      </w:r>
    </w:p>
    <w:p>
      <w:r>
        <w:t>Numerical settings. Ritz order: 6. Shear correction (FSDT only): Energy equivalent. Increase resolution to check convergence.</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36">
        <w:r>
          <w:rPr>
            <w:color w:val="176EA4"/>
          </w:rPr>
          <w:t>FSDT: shared laminate stiffness, shear and plate response</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17" w:name="chapter_17"/>
      <w:pPr>
        <w:pStyle w:val="Heading1"/>
        <w:pageBreakBefore/>
      </w:pPr>
      <w:r>
        <w:t>Micro optimization stiffness voids and density</w:t>
      </w:r>
      <w:bookmarkEnd w:id="17"/>
    </w:p>
    <w:p>
      <w:pPr>
        <w:pStyle w:val="Caption"/>
      </w:pPr>
      <w:hyperlink r:id="rId35">
        <w:r>
          <w:rPr>
            <w:color w:val="176EA4"/>
          </w:rPr>
          <w:t>Online chapter</w:t>
        </w:r>
      </w:hyperlink>
      <w:r>
        <w:t xml:space="preserve"> </w:t>
      </w:r>
    </w:p>
    <w:p>
      <w:r>
        <w:t>Micro optimization. Infinite plate. Models: Rule of mixtures, Micro optimization.</w:t>
      </w:r>
    </w:p>
    <w:p>
      <w:hyperlink r:id="rId138">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42" name="Picture 42" descr="CDS workflow or model illustration"/>
            <wp:cNvGraphicFramePr>
              <a:graphicFrameLocks noChangeAspect="1"/>
            </wp:cNvGraphicFramePr>
            <a:graphic>
              <a:graphicData uri="http://schemas.openxmlformats.org/drawingml/2006/picture">
                <pic:pic>
                  <pic:nvPicPr>
                    <pic:cNvPr id="0" name="rsvg-0f41b6c03f4df602ee4ab344ac370b668ff84ae52bb616128c4b7820efcc7298.png"/>
                    <pic:cNvPicPr/>
                  </pic:nvPicPr>
                  <pic:blipFill>
                    <a:blip r:embed="rId139"/>
                    <a:stretch>
                      <a:fillRect/>
                    </a:stretch>
                  </pic:blipFill>
                  <pic:spPr>
                    <a:xfrm>
                      <a:off x="0" y="0"/>
                      <a:ext cx="6217920" cy="3067645"/>
                    </a:xfrm>
                    <a:prstGeom prst="rect"/>
                  </pic:spPr>
                </pic:pic>
              </a:graphicData>
            </a:graphic>
          </wp:inline>
        </w:drawing>
      </w:r>
    </w:p>
    <w:p>
      <w:pPr>
        <w:pStyle w:val="Heading2"/>
      </w:pPr>
      <w:r>
        <w:t>Tasks</w:t>
      </w:r>
    </w:p>
    <w:p>
      <w:r>
        <w:t>Open Simulation and identify the linked Micro recipe and constituent materials. Open Optimize → Lamina / Micro and select that recipe.</w:t>
      </w:r>
    </w:p>
    <w:p>
      <w:r>
        <w:t>Set fiber volume fraction to Sweep, minimum 0.30 and maximum 0.70; set void volume fraction to Sweep, minimum 0 and maximum 0.05. Keep every other variable at its source value. Use 11 samples per axis.</w:t>
      </w:r>
    </w:p>
    <w:p>
      <w:r>
        <w:t>Choose maximum E1 / density. Set minimum E2 = 0, minimum G12 = 0 and maximum density = 2000 kg/m³. Run the map and compare the best feasible point with neighboring samples.</w:t>
      </w:r>
    </w:p>
    <w:p>
      <w:r>
        <w:t>Save as Micro stiffness-density study. Reopen Optimizations → Micro and inspect All saved optimization inputs. Change a source material and verify the saved effective inputs and result remain unchanged.</w:t>
      </w:r>
    </w:p>
    <w:p>
      <w:pPr>
        <w:pStyle w:val="Heading2"/>
      </w:pPr>
      <w:r>
        <w:t>Checkpoints</w:t>
      </w:r>
    </w:p>
    <w:p>
      <w:r>
        <w:t>The maximum is best among the sampled designs, not a proof of a global continuous optimum.</w:t>
      </w:r>
    </w:p>
    <w:p>
      <w:r>
        <w:t>Void and fiber fractions must leave a positive resin fraction. No strength pass is inferred from this elastic study.</w:t>
      </w:r>
    </w:p>
    <w:p>
      <w:pPr>
        <w:pStyle w:val="Heading2"/>
      </w:pPr>
      <w:r>
        <w:t>Model limits</w:t>
      </w:r>
    </w:p>
    <w:p>
      <w:r>
        <w:t>Guided optimization case study using shared database records. Configure the documented search in Optimize, then save its results and inputs. No precomputed optimum or benchmark-validation claim. Ideal continuous, aligned reinforcement with zero voids. This is a teaching comparison, not a measured material allowable.</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Guided optimization case study using shared database records. Configure the documented search in Optimize, then save its results and inputs. No precomputed optimum or benchmark-validation claim. Ideal continuous, aligned reinforcement with zero voids. This is a teaching comparison, not a measured material allowable.</w:t>
      </w:r>
    </w:p>
    <w:p>
      <w:hyperlink r:id="rId140">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Rule of mixtures. One compatible homogenization model per Micro recipe. Separate recipes compare models; their predictions are not blended.</w:t>
      </w:r>
    </w:p>
    <w:p>
      <w:hyperlink r:id="rId19">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41">
        <w:r>
          <w:rPr>
            <w:color w:val="176EA4"/>
          </w:rPr>
          <w:t>Optimization cases: complete inputs and guided studies</w:t>
        </w:r>
      </w:hyperlink>
      <w:r>
        <w:t xml:space="preserve"> </w:t>
      </w:r>
    </w:p>
    <w:p>
      <w:hyperlink r:id="rId30">
        <w:r>
          <w:rPr>
            <w:color w:val="176EA4"/>
          </w:rPr>
          <w:t>Create and connect a lamina</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8" w:name="chapter_18"/>
      <w:pPr>
        <w:pStyle w:val="Heading1"/>
        <w:pageBreakBefore/>
      </w:pPr>
      <w:r>
        <w:t>02 Halpin Tsai transverse stiffness</w:t>
      </w:r>
      <w:bookmarkEnd w:id="18"/>
    </w:p>
    <w:p>
      <w:pPr>
        <w:pStyle w:val="Caption"/>
      </w:pPr>
      <w:hyperlink r:id="rId35">
        <w:r>
          <w:rPr>
            <w:color w:val="176EA4"/>
          </w:rPr>
          <w:t>Online chapter</w:t>
        </w:r>
      </w:hyperlink>
      <w:r>
        <w:t xml:space="preserve"> </w:t>
      </w:r>
    </w:p>
    <w:p>
      <w:r>
        <w:t>Unidirectional lamina. Infinite plate. Models: Halpin–Tsai, Rule of mixtures.</w:t>
      </w:r>
    </w:p>
    <w:p>
      <w:hyperlink r:id="rId142">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43" name="Picture 43" descr="CDS workflow or model illustration"/>
            <wp:cNvGraphicFramePr>
              <a:graphicFrameLocks noChangeAspect="1"/>
            </wp:cNvGraphicFramePr>
            <a:graphic>
              <a:graphicData uri="http://schemas.openxmlformats.org/drawingml/2006/picture">
                <pic:pic>
                  <pic:nvPicPr>
                    <pic:cNvPr id="0" name="rsvg-a53231492343df7b8234bd9275a64b5cc22837fb261bf4cd95b9cf12adf01c43.png"/>
                    <pic:cNvPicPr/>
                  </pic:nvPicPr>
                  <pic:blipFill>
                    <a:blip r:embed="rId143"/>
                    <a:stretch>
                      <a:fillRect/>
                    </a:stretch>
                  </pic:blipFill>
                  <pic:spPr>
                    <a:xfrm>
                      <a:off x="0" y="0"/>
                      <a:ext cx="6217920" cy="3067645"/>
                    </a:xfrm>
                    <a:prstGeom prst="rect"/>
                  </pic:spPr>
                </pic:pic>
              </a:graphicData>
            </a:graphic>
          </wp:inline>
        </w:drawing>
      </w:r>
    </w:p>
    <w:p>
      <w:pPr>
        <w:pStyle w:val="Heading2"/>
      </w:pPr>
      <w:r>
        <w:t>Tasks</w:t>
      </w:r>
    </w:p>
    <w:p>
      <w:r>
        <w:t>Run the supplied Halpin–Tsai Micro recipe and record E1, E2 and G12.</w:t>
      </w:r>
    </w:p>
    <w:p>
      <w:r>
        <w:t>Change only the micromechanics model to Rule of mixtures and rerun.</w:t>
      </w:r>
    </w:p>
    <w:p>
      <w:r>
        <w:t>Restore Halpin–Tsai; vary fibre volume fraction while holding the constituent data fixed.</w:t>
      </w:r>
    </w:p>
    <w:p>
      <w:pPr>
        <w:pStyle w:val="Heading2"/>
      </w:pPr>
      <w:r>
        <w:t>Checkpoints</w:t>
      </w:r>
    </w:p>
    <w:p>
      <w:r>
        <w:t>Compare transverse and shear predictions at identical fractions.</w:t>
      </w:r>
    </w:p>
    <w:p>
      <w:r>
        <w:t>Explain why different homogenization assumptions give different transverse properties.</w:t>
      </w:r>
    </w:p>
    <w:p>
      <w:pPr>
        <w:pStyle w:val="Heading2"/>
      </w:pPr>
      <w:r>
        <w:t>Model limits</w:t>
      </w:r>
    </w:p>
    <w:p>
      <w:r>
        <w:t>Use the editable model inputs and their documented assumptions; matching a trend does not validate a strength prediction.</w:t>
      </w:r>
    </w:p>
    <w:p>
      <w:pPr>
        <w:pStyle w:val="Heading2"/>
      </w:pPr>
      <w:r>
        <w:t>Recorded validation</w:t>
      </w:r>
    </w:p>
    <w:p>
      <w:r>
        <w:t>2026-09-18 — Not benchmark validated: No matched quantitative reference comparison completed for the full exercise.</w:t>
      </w:r>
    </w:p>
    <w:p>
      <w:r>
        <w:t>Use the editable model inputs and their documented assumptions; matching a trend does not validate a strength prediction.</w:t>
      </w:r>
    </w:p>
    <w:p>
      <w:hyperlink r:id="rId144">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30">
        <w:r>
          <w:rPr>
            <w:color w:val="176EA4"/>
          </w:rPr>
          <w:t>Create and connect a lamina</w:t>
        </w:r>
      </w:hyperlink>
      <w:r>
        <w:t xml:space="preserve"> </w:t>
      </w:r>
    </w:p>
    <w:p>
      <w:hyperlink r:id="rId31">
        <w:r>
          <w:rPr>
            <w:color w:val="176EA4"/>
          </w:rPr>
          <w:t>Review effective properties</w:t>
        </w:r>
      </w:hyperlink>
      <w:r>
        <w:t xml:space="preserve"> </w:t>
      </w:r>
    </w:p>
    <w:p>
      <w:hyperlink r:id="rId33">
        <w:r>
          <w:rPr>
            <w:color w:val="176EA4"/>
          </w:rPr>
          <w:t>Run and review a model</w:t>
        </w:r>
      </w:hyperlink>
      <w:r>
        <w:t xml:space="preserve"> </w:t>
      </w:r>
    </w:p>
    <w:p>
      <w:pPr>
        <w:keepNext/>
      </w:pPr>
      <w:hyperlink r:id="rId28">
        <w:r>
          <w:rPr>
            <w:color w:val="176EA4"/>
          </w:rPr>
          <w:t>Related case study: NASA lamina analysis</w:t>
        </w:r>
      </w:hyperlink>
      <w:r>
        <w:t xml:space="preserve"> </w:t>
      </w:r>
    </w:p>
    <w:p>
      <w:r>
        <w:t>Record the inputs, units, solver notices and checkpoint results before drawing a conclusion. When exploring a variation, change one factor at a time and compare it with the original case.</w:t>
      </w:r>
    </w:p>
    <w:p>
      <w:bookmarkStart w:id="19" w:name="chapter_19"/>
      <w:pPr>
        <w:pStyle w:val="Heading1"/>
        <w:pageBreakBefore/>
      </w:pPr>
      <w:r>
        <w:t>FSDT cross-ply plate buckling and natural frequencies</w:t>
      </w:r>
      <w:bookmarkEnd w:id="19"/>
    </w:p>
    <w:p>
      <w:pPr>
        <w:pStyle w:val="Caption"/>
      </w:pPr>
      <w:hyperlink r:id="rId35">
        <w:r>
          <w:rPr>
            <w:color w:val="176EA4"/>
          </w:rPr>
          <w:t>Online chapter</w:t>
        </w:r>
      </w:hyperlink>
      <w:r>
        <w:t xml:space="preserve"> </w:t>
      </w:r>
    </w:p>
    <w:p>
      <w:r>
        <w:t>Plate stability and vibration. Finite rectangular plate. Models: FSDT, Classical laminate theory, Transverse shear, Rotary inertia, Linear buckling.</w:t>
      </w:r>
    </w:p>
    <w:p>
      <w:hyperlink r:id="rId145">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44" name="Picture 44" descr="CDS workflow or model illustration"/>
            <wp:cNvGraphicFramePr>
              <a:graphicFrameLocks noChangeAspect="1"/>
            </wp:cNvGraphicFramePr>
            <a:graphic>
              <a:graphicData uri="http://schemas.openxmlformats.org/drawingml/2006/picture">
                <pic:pic>
                  <pic:nvPicPr>
                    <pic:cNvPr id="0" name="rsvg-17b09237891b0afdf205bf962ae401fabe7efb9d877c802b0cb282862db4d69e.png"/>
                    <pic:cNvPicPr/>
                  </pic:nvPicPr>
                  <pic:blipFill>
                    <a:blip r:embed="rId146"/>
                    <a:stretch>
                      <a:fillRect/>
                    </a:stretch>
                  </pic:blipFill>
                  <pic:spPr>
                    <a:xfrm>
                      <a:off x="0" y="0"/>
                      <a:ext cx="6217920" cy="3067645"/>
                    </a:xfrm>
                    <a:prstGeom prst="rect"/>
                  </pic:spPr>
                </pic:pic>
              </a:graphicData>
            </a:graphic>
          </wp:inline>
        </w:drawing>
      </w:r>
    </w:p>
    <w:p>
      <w:pPr>
        <w:pStyle w:val="Heading2"/>
      </w:pPr>
      <w:r>
        <w:t>Tasks</w:t>
      </w:r>
    </w:p>
    <w:p>
      <w:r>
        <w:t>Open Simulation and trace stored material → shared laminate → finite Plate Geometry → FSDT Loading. Confirm G13 and G23 are supplied.</w:t>
      </w:r>
    </w:p>
    <w:p>
      <w:r>
        <w:t>Run buckling and modes; compare CLT with FSDT on the same laminate. Frequencies are unprestressed.</w:t>
      </w:r>
    </w:p>
    <w:p>
      <w:r>
        <w:t>Change thickness and rerun. For modal comparison set Plate pressure to zero and Nx/Ny/Nxy to zero before selecting Modal.</w:t>
      </w:r>
    </w:p>
    <w:p>
      <w:r>
        <w:t>Increase Ritz order from 6 to 8 and compare displacement or the lowest retained eigenvalues.</w:t>
      </w:r>
    </w:p>
    <w:p>
      <w:pPr>
        <w:pStyle w:val="Heading2"/>
      </w:pPr>
      <w:r>
        <w:t>Checkpoints</w:t>
      </w:r>
    </w:p>
    <w:p>
      <w:r>
        <w:t>Geometry owns length/width; Laminate owns all ply thicknesses.</w:t>
      </w:r>
    </w:p>
    <w:p>
      <w:r>
        <w:t>CLT and FSDT share A/B/D. As and rotary inertia extend the structural formulation.</w:t>
      </w:r>
    </w:p>
    <w:p>
      <w:r>
        <w:t>Completed is not a material, strength, interface or delamination validation pass.</w:t>
      </w:r>
    </w:p>
    <w:p>
      <w:pPr>
        <w:pStyle w:val="Heading2"/>
      </w:pPr>
      <w:r>
        <w:t>Model limits</w:t>
      </w:r>
    </w:p>
    <w:p>
      <w: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pStyle w:val="Heading2"/>
      </w:pPr>
      <w:r>
        <w:t>Recorded validation</w:t>
      </w:r>
    </w:p>
    <w:p>
      <w:r>
        <w:t>2026-09-18 — Not benchmark validated: No matched quantitative reference comparison completed for the full exercise.</w:t>
      </w:r>
    </w:p>
    <w:p>
      <w: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hyperlink r:id="rId147">
        <w:r>
          <w:rPr>
            <w:color w:val="176EA4"/>
          </w:rPr>
          <w:t>Validation evidence and tested inputs</w:t>
        </w:r>
      </w:hyperlink>
      <w:r>
        <w:t xml:space="preserve"> </w:t>
      </w:r>
    </w:p>
    <w:p>
      <w:pPr>
        <w:pStyle w:val="Heading2"/>
      </w:pPr>
      <w:r>
        <w:t>Connected models and submodels</w:t>
      </w:r>
    </w:p>
    <w:p>
      <w:r>
        <w:t>FSDT · Finite plate. Automatic selects FSDT for sandwich architecture and CLT otherwise. Static bending requires FSDT. Finite-plate studies do not consume process links or run progressive failure/fatigue.</w:t>
      </w:r>
    </w:p>
    <w:p>
      <w:hyperlink r:id="rId135">
        <w:r>
          <w:rPr>
            <w:color w:val="176EA4"/>
          </w:rPr>
          <w:t>Theory and assumptions</w:t>
        </w:r>
      </w:hyperlink>
      <w:r>
        <w:t xml:space="preserve"> </w:t>
      </w:r>
    </w:p>
    <w:p>
      <w:r>
        <w:t>Study · Buckling and modal. Reference-elastic plate study; progressive failure and fatigue are not evaluated here.</w:t>
      </w:r>
    </w:p>
    <w:p>
      <w:r>
        <w:t>Numerical settings. Ritz order: 6. Shear correction (FSDT only): Energy equivalent. Increase resolution to check convergence.</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36">
        <w:r>
          <w:rPr>
            <w:color w:val="176EA4"/>
          </w:rPr>
          <w:t>FSDT: shared laminate stiffness, shear and plate response</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20" w:name="chapter_20"/>
      <w:pPr>
        <w:pStyle w:val="Heading1"/>
        <w:pageBreakBefore/>
      </w:pPr>
      <w:r>
        <w:t>Laminate optimization minimum mass under axial loading</w:t>
      </w:r>
      <w:bookmarkEnd w:id="20"/>
    </w:p>
    <w:p>
      <w:pPr>
        <w:pStyle w:val="Caption"/>
      </w:pPr>
      <w:hyperlink r:id="rId35">
        <w:r>
          <w:rPr>
            <w:color w:val="176EA4"/>
          </w:rPr>
          <w:t>Online chapter</w:t>
        </w:r>
      </w:hyperlink>
      <w:r>
        <w:t xml:space="preserve"> </w:t>
      </w:r>
    </w:p>
    <w:p>
      <w:r>
        <w:t>Laminate optimization. Finite plate. Models: Classical laminate theory, Maximum stress, Laminate optimization.</w:t>
      </w:r>
    </w:p>
    <w:p>
      <w:hyperlink r:id="rId148">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45" name="Picture 45" descr="CDS workflow or model illustration"/>
            <wp:cNvGraphicFramePr>
              <a:graphicFrameLocks noChangeAspect="1"/>
            </wp:cNvGraphicFramePr>
            <a:graphic>
              <a:graphicData uri="http://schemas.openxmlformats.org/drawingml/2006/picture">
                <pic:pic>
                  <pic:nvPicPr>
                    <pic:cNvPr id="0" name="rsvg-f9a7b56514d516da2719581559bdd977df2c8f2e2df835f75341ee66b2a20994.png"/>
                    <pic:cNvPicPr/>
                  </pic:nvPicPr>
                  <pic:blipFill>
                    <a:blip r:embed="rId149"/>
                    <a:stretch>
                      <a:fillRect/>
                    </a:stretch>
                  </pic:blipFill>
                  <pic:spPr>
                    <a:xfrm>
                      <a:off x="0" y="0"/>
                      <a:ext cx="6217920" cy="3067645"/>
                    </a:xfrm>
                    <a:prstGeom prst="rect"/>
                  </pic:spPr>
                </pic:pic>
              </a:graphicData>
            </a:graphic>
          </wp:inline>
        </w:drawing>
      </w:r>
    </w:p>
    <w:p>
      <w:pPr>
        <w:pStyle w:val="Heading2"/>
      </w:pPr>
      <w:r>
        <w:t>Tasks</w:t>
      </w:r>
    </w:p>
    <w:p>
      <w:r>
        <w:t>Open the structural load linked by Simulation. Set Nx = 100 N/mm and Ny, Nxy, Mx, My and Mxy to zero. Confirm the linked laminate has usable strengths and densities.</w:t>
      </w:r>
    </w:p>
    <w:p>
      <w:r>
        <w:t>Open Optimize → Laminate and select that structural case. Select minimum mass, Maximum stress, required load factor 1, allowed angles −45, 0, 45, 90°, minimum 4 and maximum 16 plies; enable symmetry and balance, with minimum angle content 0%.</w:t>
      </w:r>
    </w:p>
    <w:p>
      <w:r>
        <w:t>Use search budget 400 and seed 42. Run optimization, inspect convergence and compare mass against the baseline. If the search is budget-limited, report best found, not global optimum.</w:t>
      </w:r>
    </w:p>
    <w:p>
      <w:r>
        <w:t>Save as Axial minimum-mass study. Reopen Optimizations → Laminate and review the complete search settings, selected mechanical loads and frozen ply inputs. Create a candidate laminate separately and rerun structural analysis before accepting it.</w:t>
      </w:r>
    </w:p>
    <w:p>
      <w:pPr>
        <w:pStyle w:val="Heading2"/>
      </w:pPr>
      <w:r>
        <w:t>Checkpoints</w:t>
      </w:r>
    </w:p>
    <w:p>
      <w:r>
        <w:t>This is mechanical first-ply screening; it does not certify buckling, delamination, fatigue or manufacturing suitability.</w:t>
      </w:r>
    </w:p>
    <w:p>
      <w:r>
        <w:t>An infeasible best candidate is not a pass. Source loads and ramped optimization loads are distinct saved inputs.</w:t>
      </w:r>
    </w:p>
    <w:p>
      <w:pPr>
        <w:pStyle w:val="Heading2"/>
      </w:pPr>
      <w:r>
        <w:t>Model limits</w:t>
      </w:r>
    </w:p>
    <w:p>
      <w:r>
        <w:t>Guided optimization case study using shared database records. Configure the documented search in Optimize, then save its results and inputs. No precomputed optimum or benchmark-validation claim. ASTM-based teaching geometry, not certification. Grips, tabs, alignment and physical test validity are not simulated.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Guided optimization case study using shared database records. Configure the documented search in Optimize, then save its results and inputs. No precomputed optimum or benchmark-validation claim. ASTM-based teaching geometry, not certification. Grips, tabs, alignment and physical test validity are not simulated.</w:t>
      </w:r>
    </w:p>
    <w:p>
      <w:hyperlink r:id="rId150">
        <w:r>
          <w:rPr>
            <w:color w:val="176EA4"/>
          </w:rPr>
          <w:t>Validation evidence and tested inputs</w:t>
        </w:r>
      </w:hyperlink>
      <w:r>
        <w:t xml:space="preserve"> </w:t>
      </w:r>
    </w:p>
    <w:p>
      <w:pPr>
        <w:pStyle w:val="Heading2"/>
      </w:pPr>
      <w:r>
        <w:t>Connected models and submodels</w:t>
      </w:r>
    </w:p>
    <w:p>
      <w:r>
        <w:t>CLT · Linear static.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41">
        <w:r>
          <w:rPr>
            <w:color w:val="176EA4"/>
          </w:rPr>
          <w:t>Optimization cases: complete inputs and guided studies</w:t>
        </w:r>
      </w:hyperlink>
      <w:r>
        <w:t xml:space="preserve"> </w:t>
      </w:r>
    </w:p>
    <w:p>
      <w:hyperlink r:id="rId128">
        <w:r>
          <w:rPr>
            <w:color w:val="176EA4"/>
          </w:rPr>
          <w:t>Edit laminate materials, angles and thicknesses</w:t>
        </w:r>
      </w:hyperlink>
      <w:r>
        <w:t xml:space="preserve"> </w:t>
      </w:r>
    </w:p>
    <w:p>
      <w:pPr>
        <w:keepNext/>
      </w:pPr>
      <w:hyperlink r:id="rId33">
        <w:r>
          <w:rPr>
            <w:color w:val="176EA4"/>
          </w:rPr>
          <w:t>Run and review a model</w:t>
        </w:r>
      </w:hyperlink>
      <w:r>
        <w:t xml:space="preserve"> </w:t>
      </w:r>
    </w:p>
    <w:p>
      <w:r>
        <w:t>Record the inputs, units, solver notices and checkpoint results before drawing a conclusion. When exploring a variation, change one factor at a time and compare it with the original case.</w:t>
      </w:r>
    </w:p>
    <w:p>
      <w:bookmarkStart w:id="21" w:name="chapter_21"/>
      <w:pPr>
        <w:pStyle w:val="Heading1"/>
        <w:pageBreakBefore/>
      </w:pPr>
      <w:r>
        <w:t>03 Short fibers shear-lag transfer</w:t>
      </w:r>
      <w:bookmarkEnd w:id="21"/>
    </w:p>
    <w:p>
      <w:pPr>
        <w:pStyle w:val="Caption"/>
      </w:pPr>
      <w:hyperlink r:id="rId35">
        <w:r>
          <w:rPr>
            <w:color w:val="176EA4"/>
          </w:rPr>
          <w:t>Online chapter</w:t>
        </w:r>
      </w:hyperlink>
      <w:r>
        <w:t xml:space="preserve"> </w:t>
      </w:r>
    </w:p>
    <w:p>
      <w:r>
        <w:t>Aligned short-fiber lamina. Infinite plate. Models: Cox shear-lag elastic, Classical laminate theory, Maximum stress.</w:t>
      </w:r>
    </w:p>
    <w:p>
      <w:hyperlink r:id="rId151">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46" name="Picture 46" descr="CDS workflow or model illustration"/>
            <wp:cNvGraphicFramePr>
              <a:graphicFrameLocks noChangeAspect="1"/>
            </wp:cNvGraphicFramePr>
            <a:graphic>
              <a:graphicData uri="http://schemas.openxmlformats.org/drawingml/2006/picture">
                <pic:pic>
                  <pic:nvPicPr>
                    <pic:cNvPr id="0" name="rsvg-0a4e74a2adade5643c362966dbf0379fb0163bbe1ff9ef20438d357e63e2a28f.png"/>
                    <pic:cNvPicPr/>
                  </pic:nvPicPr>
                  <pic:blipFill>
                    <a:blip r:embed="rId152"/>
                    <a:stretch>
                      <a:fillRect/>
                    </a:stretch>
                  </pic:blipFill>
                  <pic:spPr>
                    <a:xfrm>
                      <a:off x="0" y="0"/>
                      <a:ext cx="6217920" cy="3067645"/>
                    </a:xfrm>
                    <a:prstGeom prst="rect"/>
                  </pic:spPr>
                </pic:pic>
              </a:graphicData>
            </a:graphic>
          </wp:inline>
        </w:drawing>
      </w:r>
    </w:p>
    <w:p>
      <w:pPr>
        <w:pStyle w:val="Heading2"/>
      </w:pPr>
      <w:r>
        <w:t>Tasks</w:t>
      </w:r>
    </w:p>
    <w:p>
      <w:r>
        <w:t>Open Micro: identify length 0.35 mm, diameter 7 µm and derived L/d = 50. Inspect the linked constituent moduli.</w:t>
      </w:r>
    </w:p>
    <w:p>
      <w:r>
        <w:t>Run at lengths 0.07, 0.35 and 3.5 mm, keeping diameter fixed. Compare E1, shear-lag efficiency and elastic transfer length in Micro outputs.</w:t>
      </w:r>
    </w:p>
    <w:p>
      <w:r>
        <w:t>Double both length and diameter. Rerun and explain why aspect ratio and elastic stiffness are unchanged.</w:t>
      </w:r>
    </w:p>
    <w:p>
      <w:r>
        <w:t>Open Response → Failure. Compare the available classical criteria using the independent teaching allowables in Micro → Strength &amp; failure; do not interpret them as measured T700 short-fiber strengths.</w:t>
      </w:r>
    </w:p>
    <w:p>
      <w:pPr>
        <w:pStyle w:val="Heading2"/>
      </w:pPr>
      <w:r>
        <w:t>Checkpoints</w:t>
      </w:r>
    </w:p>
    <w:p>
      <w:r>
        <w:t>Efficiency increases toward one as aspect ratio increases; E1 approaches the aligned continuous-fiber mixture limit.</w:t>
      </w:r>
    </w:p>
    <w:p>
      <w:r>
        <w:t>RVE progressive failure remains disabled. Cox predicts elastic transfer, not critical break length or damage evolution.</w:t>
      </w:r>
    </w:p>
    <w:p>
      <w:r>
        <w:t>Strength values in this exercise are illustrative assumptions, not predictions or qualified allowables.</w:t>
      </w:r>
    </w:p>
    <w:p>
      <w:pPr>
        <w:pStyle w:val="Heading2"/>
      </w:pPr>
      <w:r>
        <w:t>Model limits</w:t>
      </w:r>
    </w:p>
    <w:p>
      <w:r>
        <w:t>Aligned monodisperse elastic fibers, perfect interface and concentric-cell shear lag. Halpin–Tsai transverse/shear screening closure. Existing constituent data are reused; the short-fiber composite and its strength allowables are a hypothetical teaching system.</w:t>
      </w:r>
    </w:p>
    <w:p>
      <w:pPr>
        <w:pStyle w:val="Heading2"/>
      </w:pPr>
      <w:r>
        <w:t>Recorded validation</w:t>
      </w:r>
    </w:p>
    <w:p>
      <w:r>
        <w:t>2026-09-18 — Not benchmark validated: No matched quantitative reference comparison completed for the full exercise.</w:t>
      </w:r>
    </w:p>
    <w:p>
      <w:r>
        <w:t>Aligned monodisperse elastic fibers, perfect interface and concentric-cell shear lag. Halpin–Tsai transverse/shear screening closure. Existing constituent data are reused; the short-fiber composite and its strength allowables are a hypothetical teaching system.</w:t>
      </w:r>
    </w:p>
    <w:p>
      <w:hyperlink r:id="rId153">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Cox shear-lag elastic. One compatible homogenization model per Micro recipe. Separate recipes compare models; their predictions are not blended.</w:t>
      </w:r>
    </w:p>
    <w:p>
      <w:hyperlink r:id="rId19">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30">
        <w:r>
          <w:rPr>
            <w:color w:val="176EA4"/>
          </w:rPr>
          <w:t>Create and connect a lamina</w:t>
        </w:r>
      </w:hyperlink>
      <w:r>
        <w:t xml:space="preserve"> </w:t>
      </w:r>
    </w:p>
    <w:p>
      <w:hyperlink r:id="rId29">
        <w:r>
          <w:rPr>
            <w:color w:val="176EA4"/>
          </w:rPr>
          <w:t>Edit material properties and units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hyperlink r:id="rId128">
        <w:r>
          <w:rPr>
            <w:color w:val="176EA4"/>
          </w:rPr>
          <w:t>Edit laminate materials, angles and thicknesses</w:t>
        </w:r>
      </w:hyperlink>
      <w:r>
        <w:t xml:space="preserve"> </w:t>
      </w:r>
    </w:p>
    <w:p>
      <w:pPr>
        <w:keepNext/>
      </w:pPr>
      <w:hyperlink r:id="rId28">
        <w:r>
          <w:rPr>
            <w:color w:val="176EA4"/>
          </w:rPr>
          <w:t>Related case study: NASA lamina analysis</w:t>
        </w:r>
      </w:hyperlink>
      <w:r>
        <w:t xml:space="preserve"> </w:t>
      </w:r>
    </w:p>
    <w:p>
      <w:r>
        <w:t>Record the inputs, units, solver notices and checkpoint results before drawing a conclusion. When exploring a variation, change one factor at a time and compare it with the original case.</w:t>
      </w:r>
    </w:p>
    <w:p>
      <w:bookmarkStart w:id="22" w:name="chapter_22"/>
      <w:pPr>
        <w:pStyle w:val="Heading1"/>
        <w:pageBreakBefore/>
      </w:pPr>
      <w:r>
        <w:t>FSDT soft-core plate shear-dominated bending</w:t>
      </w:r>
      <w:bookmarkEnd w:id="22"/>
    </w:p>
    <w:p>
      <w:pPr>
        <w:pStyle w:val="Caption"/>
      </w:pPr>
      <w:hyperlink r:id="rId35">
        <w:r>
          <w:rPr>
            <w:color w:val="176EA4"/>
          </w:rPr>
          <w:t>Online chapter</w:t>
        </w:r>
      </w:hyperlink>
      <w:r>
        <w:t xml:space="preserve"> </w:t>
      </w:r>
    </w:p>
    <w:p>
      <w:r>
        <w:t>Soft-core plate bending. Finite rectangular plate. Models: FSDT, Classical laminate theory, Transverse shear, Static bending.</w:t>
      </w:r>
    </w:p>
    <w:p>
      <w:hyperlink r:id="rId154">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47" name="Picture 47" descr="CDS workflow or model illustration"/>
            <wp:cNvGraphicFramePr>
              <a:graphicFrameLocks noChangeAspect="1"/>
            </wp:cNvGraphicFramePr>
            <a:graphic>
              <a:graphicData uri="http://schemas.openxmlformats.org/drawingml/2006/picture">
                <pic:pic>
                  <pic:nvPicPr>
                    <pic:cNvPr id="0" name="rsvg-36cf22128a113148d93a57358becf634d5129867b5b2f080c6a813955b8be36b.png"/>
                    <pic:cNvPicPr/>
                  </pic:nvPicPr>
                  <pic:blipFill>
                    <a:blip r:embed="rId155"/>
                    <a:stretch>
                      <a:fillRect/>
                    </a:stretch>
                  </pic:blipFill>
                  <pic:spPr>
                    <a:xfrm>
                      <a:off x="0" y="0"/>
                      <a:ext cx="6217920" cy="3067645"/>
                    </a:xfrm>
                    <a:prstGeom prst="rect"/>
                  </pic:spPr>
                </pic:pic>
              </a:graphicData>
            </a:graphic>
          </wp:inline>
        </w:drawing>
      </w:r>
    </w:p>
    <w:p>
      <w:pPr>
        <w:pStyle w:val="Heading2"/>
      </w:pPr>
      <w:r>
        <w:t>Tasks</w:t>
      </w:r>
    </w:p>
    <w:p>
      <w:r>
        <w:t>Open Simulation and trace stored material → shared laminate → finite Plate Geometry → FSDT Loading. Confirm G13 and G23 are supplied.</w:t>
      </w:r>
    </w:p>
    <w:p>
      <w:r>
        <w:t>Run Static bending; inspect physical w, section rotations and Qx/Qy, including both cursor sections.</w:t>
      </w:r>
    </w:p>
    <w:p>
      <w:r>
        <w:t>Confirm Automatic resolves to FSDT for Sandwich Structures. Compare Energy equivalent and Uniform 5/6 shear corrections. Explain why a soft core makes a single homogeneous correction inappropriate.</w:t>
      </w:r>
    </w:p>
    <w:p>
      <w:r>
        <w:t>Increase Ritz order from 6 to 8 and compare displacement or the lowest retained eigenvalues.</w:t>
      </w:r>
    </w:p>
    <w:p>
      <w:pPr>
        <w:pStyle w:val="Heading2"/>
      </w:pPr>
      <w:r>
        <w:t>Checkpoints</w:t>
      </w:r>
    </w:p>
    <w:p>
      <w:r>
        <w:t>Geometry owns length/width; Laminate owns all ply thicknesses.</w:t>
      </w:r>
    </w:p>
    <w:p>
      <w:r>
        <w:t>CLT and FSDT share A/B/D. As and rotary inertia extend the structural formulation.</w:t>
      </w:r>
    </w:p>
    <w:p>
      <w:r>
        <w:t>Completed is not a material, strength, interface or delamination validation pass.</w:t>
      </w:r>
    </w:p>
    <w:p>
      <w:pPr>
        <w:pStyle w:val="Heading2"/>
      </w:pPr>
      <w:r>
        <w:t>Model limits</w:t>
      </w:r>
    </w:p>
    <w:p>
      <w: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pStyle w:val="Heading2"/>
      </w:pPr>
      <w:r>
        <w:t>Recorded validation</w:t>
      </w:r>
    </w:p>
    <w:p>
      <w:r>
        <w:t>2026-09-18 — Not benchmark validated: No matched quantitative reference comparison completed for the full exercise.</w:t>
      </w:r>
    </w:p>
    <w:p>
      <w: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hyperlink r:id="rId156">
        <w:r>
          <w:rPr>
            <w:color w:val="176EA4"/>
          </w:rPr>
          <w:t>Validation evidence and tested inputs</w:t>
        </w:r>
      </w:hyperlink>
      <w:r>
        <w:t xml:space="preserve"> </w:t>
      </w:r>
    </w:p>
    <w:p>
      <w:pPr>
        <w:pStyle w:val="Heading2"/>
      </w:pPr>
      <w:r>
        <w:t>Connected models and submodels</w:t>
      </w:r>
    </w:p>
    <w:p>
      <w:r>
        <w:t>Automatic · Finite plate. Automatic selects FSDT for sandwich architecture and CLT otherwise. Static bending requires FSDT. Finite-plate studies do not consume process links or run progressive failure/fatigue.</w:t>
      </w:r>
    </w:p>
    <w:p>
      <w:hyperlink r:id="rId135">
        <w:r>
          <w:rPr>
            <w:color w:val="176EA4"/>
          </w:rPr>
          <w:t>Theory and assumptions</w:t>
        </w:r>
      </w:hyperlink>
      <w:r>
        <w:t xml:space="preserve"> </w:t>
      </w:r>
    </w:p>
    <w:p>
      <w:r>
        <w:t>Study · Static bending. Reference-elastic plate study; progressive failure and fatigue are not evaluated here.</w:t>
      </w:r>
    </w:p>
    <w:p>
      <w:r>
        <w:t>Numerical settings. Ritz order: 6. Shear correction (FSDT only): Energy equivalent. Increase resolution to check convergence.</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36">
        <w:r>
          <w:rPr>
            <w:color w:val="176EA4"/>
          </w:rPr>
          <w:t>FSDT: shared laminate stiffness, shear and plate response</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23" w:name="chapter_23"/>
      <w:pPr>
        <w:pStyle w:val="Heading1"/>
        <w:pageBreakBefore/>
      </w:pPr>
      <w:r>
        <w:t>Process optimization cycle time and thermal uniformity</w:t>
      </w:r>
      <w:bookmarkEnd w:id="23"/>
    </w:p>
    <w:p>
      <w:pPr>
        <w:pStyle w:val="Caption"/>
      </w:pPr>
      <w:hyperlink r:id="rId35">
        <w:r>
          <w:rPr>
            <w:color w:val="176EA4"/>
          </w:rPr>
          <w:t>Online chapter</w:t>
        </w:r>
      </w:hyperlink>
      <w:r>
        <w:t xml:space="preserve"> </w:t>
      </w:r>
    </w:p>
    <w:p>
      <w:r>
        <w:t>Process optimization. Laminate through-thickness slab. Models: Transient heat transfer, Process optimization.</w:t>
      </w:r>
    </w:p>
    <w:p>
      <w:hyperlink r:id="rId157">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48" name="Picture 48" descr="CDS workflow or model illustration"/>
            <wp:cNvGraphicFramePr>
              <a:graphicFrameLocks noChangeAspect="1"/>
            </wp:cNvGraphicFramePr>
            <a:graphic>
              <a:graphicData uri="http://schemas.openxmlformats.org/drawingml/2006/picture">
                <pic:pic>
                  <pic:nvPicPr>
                    <pic:cNvPr id="0" name="rsvg-cc1d6507c6eb9a7bfe6381366e65ad2924ee2d3681cddcf1cfbc654bb4377956.png"/>
                    <pic:cNvPicPr/>
                  </pic:nvPicPr>
                  <pic:blipFill>
                    <a:blip r:embed="rId158"/>
                    <a:stretch>
                      <a:fillRect/>
                    </a:stretch>
                  </pic:blipFill>
                  <pic:spPr>
                    <a:xfrm>
                      <a:off x="0" y="0"/>
                      <a:ext cx="6217920" cy="3067645"/>
                    </a:xfrm>
                    <a:prstGeom prst="rect"/>
                  </pic:spPr>
                </pic:pic>
              </a:graphicData>
            </a:graphic>
          </wp:inline>
        </w:drawing>
      </w:r>
    </w:p>
    <w:p>
      <w:pPr>
        <w:pStyle w:val="Heading2"/>
      </w:pPr>
      <w:r>
        <w:t>Tasks</w:t>
      </w:r>
    </w:p>
    <w:p>
      <w:r>
        <w:t>Open Simulation and identify its thermal load, laminate and Process schedule. In Optimize → Process select that thermal case; inspect source temperatures, layer conductivity/capacity and film coefficients.</w:t>
      </w:r>
    </w:p>
    <w:p>
      <w:r>
        <w:t>Use duration objective, target core temperature 120 °C, required hold 10 min, maximum part temperature 200 °C and maximum through-thickness difference 30 °C. Sweep time scale 0.75–1.25 and temperature scale 0.90–1.10 with 5 samples per axis and 21 through-thickness nodes.</w:t>
      </w:r>
    </w:p>
    <w:p>
      <w:r>
        <w:t>Keep cure exotherm off for this thermal-only exercise and acknowledge the displayed assumptions. Run; inspect feasible candidates, temperature histories and the best sampled duration. If none are feasible, report that outcome and adjust a constraint deliberately.</w:t>
      </w:r>
    </w:p>
    <w:p>
      <w:r>
        <w:t>Save as Thermal cycle-time study. Reopen Optimizations → Process and inspect saved boundaries, layers, constraints and source cycle. Create a candidate cycle separately, then rerun the coupled simulation; thermal feasibility alone does not establish cure or strength.</w:t>
      </w:r>
    </w:p>
    <w:p>
      <w:pPr>
        <w:pStyle w:val="Heading2"/>
      </w:pPr>
      <w:r>
        <w:t>Checkpoints</w:t>
      </w:r>
    </w:p>
    <w:p>
      <w:r>
        <w:t>The schedule is prescribed boundary temperature, not oven dynamics. This example is not UV or pultrusion optimization.</w:t>
      </w:r>
    </w:p>
    <w:p>
      <w:r>
        <w:t>Compare a refined grid before accepting the best sampled candidate. Thermal-only feasibility is not cure completion or a strength pass.</w:t>
      </w:r>
    </w:p>
    <w:p>
      <w:pPr>
        <w:pStyle w:val="Heading2"/>
      </w:pPr>
      <w:r>
        <w:t>Model limits</w:t>
      </w:r>
    </w:p>
    <w:p>
      <w:r>
        <w:t>Guided optimization case study using shared database records. Configure the documented search in Optimize, then save its results and inputs. No precomputed optimum or benchmark-validation claim. One-dimensional through-thickness transport; lateral heat loss and oven airflow are not resolved. Inspect linked cure settings before interpreting reaction heating.</w:t>
      </w:r>
    </w:p>
    <w:p>
      <w:pPr>
        <w:pStyle w:val="Heading2"/>
      </w:pPr>
      <w:r>
        <w:t>Recorded validation</w:t>
      </w:r>
    </w:p>
    <w:p>
      <w:r>
        <w:t>2026-09-18 — Not benchmark validated: No matched quantitative reference comparison completed for the full exercise.</w:t>
      </w:r>
    </w:p>
    <w:p>
      <w:r>
        <w:t>Guided optimization case study using shared database records. Configure the documented search in Optimize, then save its results and inputs. No precomputed optimum or benchmark-validation claim. One-dimensional through-thickness transport; lateral heat loss and oven airflow are not resolved. Inspect linked cure settings before interpreting reaction heating.</w:t>
      </w:r>
    </w:p>
    <w:p>
      <w:hyperlink r:id="rId159">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transient heat transfer. Needs linked laminate properties and a compatible process schedule. A linked cycle is not a solved temperature history.</w:t>
      </w:r>
    </w:p>
    <w:p>
      <w:hyperlink r:id="rId45">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Thermal to Simulation: SIMULATION selects this case and its analysis model; the case owns its applicable cycle and input references.</w:t>
      </w:r>
    </w:p>
    <w:p>
      <w:r>
        <w:t>Laminates to Thermal: Ply angles and thicknesses, stiffness, mass and ply properties.</w:t>
      </w:r>
    </w:p>
    <w:p>
      <w:r>
        <w:t>Simulation to Optimization: Linked inputs and current-property response for candidate evaluation.</w:t>
      </w:r>
    </w:p>
    <w:p>
      <w:pPr>
        <w:pStyle w:val="Heading2"/>
      </w:pPr>
      <w:r>
        <w:t>References</w:t>
      </w:r>
    </w:p>
    <w:p>
      <w:hyperlink r:id="rId141">
        <w:r>
          <w:rPr>
            <w:color w:val="176EA4"/>
          </w:rPr>
          <w:t>Optimization cases: complete inputs and guided studies</w:t>
        </w:r>
      </w:hyperlink>
      <w:r>
        <w:t xml:space="preserve"> </w:t>
      </w:r>
    </w:p>
    <w:p>
      <w:hyperlink r:id="rId160">
        <w:r>
          <w:rPr>
            <w:color w:val="176EA4"/>
          </w:rPr>
          <w:t>Enter a process cycle and boundary conditions</w:t>
        </w:r>
      </w:hyperlink>
      <w:r>
        <w:t xml:space="preserve"> </w:t>
      </w:r>
    </w:p>
    <w:p>
      <w:pPr>
        <w:keepNext/>
      </w:pPr>
      <w:hyperlink r:id="rId161">
        <w:r>
          <w:rPr>
            <w:color w:val="176EA4"/>
          </w:rPr>
          <w:t>Cure exotherm and evolving modulus</w:t>
        </w:r>
      </w:hyperlink>
      <w:r>
        <w:t xml:space="preserve"> </w:t>
      </w:r>
    </w:p>
    <w:p>
      <w:r>
        <w:t>Record the inputs, units, solver notices and checkpoint results before drawing a conclusion. When exploring a variation, change one factor at a time and compare it with the original case.</w:t>
      </w:r>
    </w:p>
    <w:p>
      <w:bookmarkStart w:id="24" w:name="chapter_24"/>
      <w:pPr>
        <w:pStyle w:val="Heading1"/>
        <w:pageBreakBefore/>
      </w:pPr>
      <w:r>
        <w:t>04 Hybrid fibers orientation distribution</w:t>
      </w:r>
      <w:bookmarkEnd w:id="24"/>
    </w:p>
    <w:p>
      <w:pPr>
        <w:pStyle w:val="Caption"/>
      </w:pPr>
      <w:hyperlink r:id="rId35">
        <w:r>
          <w:rPr>
            <w:color w:val="176EA4"/>
          </w:rPr>
          <w:t>Online chapter</w:t>
        </w:r>
      </w:hyperlink>
      <w:r>
        <w:t xml:space="preserve"> </w:t>
      </w:r>
    </w:p>
    <w:p>
      <w:r>
        <w:t>Hybrid short-fiber lamina. Infinite plate. Models: Cox shear-lag elastic, Orientation averaging, Classical laminate theory.</w:t>
      </w:r>
    </w:p>
    <w:p>
      <w:hyperlink r:id="rId162">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49" name="Picture 49" descr="CDS workflow or model illustration"/>
            <wp:cNvGraphicFramePr>
              <a:graphicFrameLocks noChangeAspect="1"/>
            </wp:cNvGraphicFramePr>
            <a:graphic>
              <a:graphicData uri="http://schemas.openxmlformats.org/drawingml/2006/picture">
                <pic:pic>
                  <pic:nvPicPr>
                    <pic:cNvPr id="0" name="rsvg-1f9483813f9eb7f33912a661142c4fbbcd0e55e8fae2902a7b5030c821db3eb3.png"/>
                    <pic:cNvPicPr/>
                  </pic:nvPicPr>
                  <pic:blipFill>
                    <a:blip r:embed="rId163"/>
                    <a:stretch>
                      <a:fillRect/>
                    </a:stretch>
                  </pic:blipFill>
                  <pic:spPr>
                    <a:xfrm>
                      <a:off x="0" y="0"/>
                      <a:ext cx="6217920" cy="3067645"/>
                    </a:xfrm>
                    <a:prstGeom prst="rect"/>
                  </pic:spPr>
                </pic:pic>
              </a:graphicData>
            </a:graphic>
          </wp:inline>
        </w:drawing>
      </w:r>
    </w:p>
    <w:p>
      <w:pPr>
        <w:pStyle w:val="Heading2"/>
      </w:pPr>
      <w:r>
        <w:t>Tasks</w:t>
      </w:r>
    </w:p>
    <w:p>
      <w:r>
        <w:t>Inspect both linked fibers: 20% T700 plus 10% IM7, 2% voids and 68% resin. Rotate the live 3D view; normalized fiber lengths are illustrative only.</w:t>
      </w:r>
    </w:p>
    <w:p>
      <w:r>
        <w:t>Run with Fa=1, then Fa=0/Fp=1, then Fa=0/Fp=0. Compare E1, E2, E3 and shear moduli.</w:t>
      </w:r>
    </w:p>
    <w:p>
      <w:r>
        <w:t>Hold total fiber at 30% and move volume between fiber 1 and fiber 2. Rerun and compare stiffness and density.</w:t>
      </w:r>
    </w:p>
    <w:p>
      <w:r>
        <w:t>Review classical failure inputs. The supplied zero allowables mean strength is not assessed; do not claim a pass from elasticity alone.</w:t>
      </w:r>
    </w:p>
    <w:p>
      <w:pPr>
        <w:pStyle w:val="Heading2"/>
      </w:pPr>
      <w:r>
        <w:t>Checkpoints</w:t>
      </w:r>
    </w:p>
    <w:p>
      <w:r>
        <w:t>In-plane random orientation gives E1 = E2; spatial random orientation gives E1 = E2 = E3.</w:t>
      </w:r>
    </w:p>
    <w:p>
      <w:r>
        <w:t>Fa=.5 and Fp=.5 represent 50% axial, 25% planar-random and 25% spatial-random fibers.</w:t>
      </w:r>
    </w:p>
    <w:p>
      <w:r>
        <w:t>Cox transfer is evaluated per fiber modulus. Hybrid transverse closure is an averaged-constituent screening approximation; it does not model phase interaction or debonding.</w:t>
      </w:r>
    </w:p>
    <w:p>
      <w:pPr>
        <w:pStyle w:val="Heading2"/>
      </w:pPr>
      <w:r>
        <w:t>Model limits</w:t>
      </w:r>
    </w:p>
    <w:p>
      <w:r>
        <w:t>Prescribed orientation, common filament dimensions and resin. Voigt stiffness averaging; not a manufacturing orientation prediction or progressive failure model. Thermal transport retains aligned closure assumptions.</w:t>
      </w:r>
    </w:p>
    <w:p>
      <w:pPr>
        <w:pStyle w:val="Heading2"/>
      </w:pPr>
      <w:r>
        <w:t>Recorded validation</w:t>
      </w:r>
    </w:p>
    <w:p>
      <w:r>
        <w:t>2026-09-18 — Not benchmark validated: No matched quantitative reference comparison completed for the full exercise.</w:t>
      </w:r>
    </w:p>
    <w:p>
      <w:r>
        <w:t>Prescribed orientation, common filament dimensions and resin. Voigt stiffness averaging; not a manufacturing orientation prediction or progressive failure model. Thermal transport retains aligned closure assumptions.</w:t>
      </w:r>
    </w:p>
    <w:p>
      <w:hyperlink r:id="rId164">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Cox shear-lag elastic. One compatible homogenization model per Micro recipe. Separate recipes compare models; their predictions are not blended.</w:t>
      </w:r>
    </w:p>
    <w:p>
      <w:hyperlink r:id="rId19">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30">
        <w:r>
          <w:rPr>
            <w:color w:val="176EA4"/>
          </w:rPr>
          <w:t>Create and connect a lamina</w:t>
        </w:r>
      </w:hyperlink>
      <w:r>
        <w:t xml:space="preserve"> </w:t>
      </w:r>
    </w:p>
    <w:p>
      <w:hyperlink r:id="rId29">
        <w:r>
          <w:rPr>
            <w:color w:val="176EA4"/>
          </w:rPr>
          <w:t>Edit material properties and units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hyperlink r:id="rId128">
        <w:r>
          <w:rPr>
            <w:color w:val="176EA4"/>
          </w:rPr>
          <w:t>Edit laminate materials, angles and thicknesses</w:t>
        </w:r>
      </w:hyperlink>
      <w:r>
        <w:t xml:space="preserve"> </w:t>
      </w:r>
    </w:p>
    <w:p>
      <w:pPr>
        <w:keepNext/>
      </w:pPr>
      <w:hyperlink r:id="rId28">
        <w:r>
          <w:rPr>
            <w:color w:val="176EA4"/>
          </w:rPr>
          <w:t>Related case study: NASA lamina analysis</w:t>
        </w:r>
      </w:hyperlink>
      <w:r>
        <w:t xml:space="preserve"> </w:t>
      </w:r>
    </w:p>
    <w:p>
      <w:r>
        <w:t>Record the inputs, units, solver notices and checkpoint results before drawing a conclusion. When exploring a variation, change one factor at a time and compare it with the original case.</w:t>
      </w:r>
    </w:p>
    <w:p>
      <w:bookmarkStart w:id="25" w:name="chapter_25"/>
      <w:pPr>
        <w:pStyle w:val="Heading1"/>
        <w:pageBreakBefore/>
      </w:pPr>
      <w:r>
        <w:t>Sandwich FSDT clamped panel bending</w:t>
      </w:r>
      <w:bookmarkEnd w:id="25"/>
    </w:p>
    <w:p>
      <w:pPr>
        <w:pStyle w:val="Caption"/>
      </w:pPr>
      <w:hyperlink r:id="rId35">
        <w:r>
          <w:rPr>
            <w:color w:val="176EA4"/>
          </w:rPr>
          <w:t>Online chapter</w:t>
        </w:r>
      </w:hyperlink>
      <w:r>
        <w:t xml:space="preserve"> </w:t>
      </w:r>
    </w:p>
    <w:p>
      <w:r>
        <w:t>Sandwich panel bending. Finite rectangular plate. Models: FSDT, Classical laminate theory, Transverse shear, Static bending.</w:t>
      </w:r>
    </w:p>
    <w:p>
      <w:hyperlink r:id="rId165">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50" name="Picture 50" descr="CDS workflow or model illustration"/>
            <wp:cNvGraphicFramePr>
              <a:graphicFrameLocks noChangeAspect="1"/>
            </wp:cNvGraphicFramePr>
            <a:graphic>
              <a:graphicData uri="http://schemas.openxmlformats.org/drawingml/2006/picture">
                <pic:pic>
                  <pic:nvPicPr>
                    <pic:cNvPr id="0" name="rsvg-dcac5d9b6e79a6de54c1ca27f7bbc5784035afe2a58255613336f9182c3398f0.png"/>
                    <pic:cNvPicPr/>
                  </pic:nvPicPr>
                  <pic:blipFill>
                    <a:blip r:embed="rId166"/>
                    <a:stretch>
                      <a:fillRect/>
                    </a:stretch>
                  </pic:blipFill>
                  <pic:spPr>
                    <a:xfrm>
                      <a:off x="0" y="0"/>
                      <a:ext cx="6217920" cy="3067645"/>
                    </a:xfrm>
                    <a:prstGeom prst="rect"/>
                  </pic:spPr>
                </pic:pic>
              </a:graphicData>
            </a:graphic>
          </wp:inline>
        </w:drawing>
      </w:r>
    </w:p>
    <w:p>
      <w:pPr>
        <w:pStyle w:val="Heading2"/>
      </w:pPr>
      <w:r>
        <w:t>Tasks</w:t>
      </w:r>
    </w:p>
    <w:p>
      <w:r>
        <w:t>Open Simulation: check the shared skins/core, 1 / 18 / 1 mm stack, 300 × 200 mm Geometry, and paired Loading. Architecture must be Sandwich Structures; Automatic resolves to FSDT with Energy equivalent shear correction.</w:t>
      </w:r>
    </w:p>
    <w:p>
      <w:r>
        <w:t>Run uniform-pressure bending with all edges clamped. Compare peak deflection and Qx/Qy with the same panel set to Simply supported; record the restraint effect.</w:t>
      </w:r>
    </w:p>
    <w:p>
      <w:r>
        <w:t>Increase Ritz order from 6 to 8; compare the quantity of interest before interpreting the result.</w:t>
      </w:r>
    </w:p>
    <w:p>
      <w:r>
        <w:t>Double Plate pressure and verify that linear deflection doubles. Save an independent copy before changing shared records.</w:t>
      </w:r>
    </w:p>
    <w:p>
      <w:pPr>
        <w:pStyle w:val="Heading2"/>
      </w:pPr>
      <w:r>
        <w:t>Checkpoints</w:t>
      </w:r>
    </w:p>
    <w:p>
      <w:r>
        <w:t>Geometry owns length and width; Laminate owns skin/core thicknesses.</w:t>
      </w:r>
    </w:p>
    <w:p>
      <w:r>
        <w:t>Static pressure and membrane loads are never combined in these examples. Modal loads are all zero.</w:t>
      </w:r>
    </w:p>
    <w:p>
      <w:r>
        <w:t>w is a physical displacement in mm; Qx/Qy are shear resultants, not interface stresses.</w:t>
      </w:r>
    </w:p>
    <w:p>
      <w:r>
        <w:t>Completion does not assess wrinkling, core crushing, debonding or delamination.</w:t>
      </w:r>
    </w:p>
    <w:p>
      <w:pPr>
        <w:pStyle w:val="Heading2"/>
      </w:pPr>
      <w:r>
        <w:t>Model limits</w:t>
      </w:r>
    </w:p>
    <w:p>
      <w: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pStyle w:val="Heading2"/>
      </w:pPr>
      <w:r>
        <w:t>Recorded validation</w:t>
      </w:r>
    </w:p>
    <w:p>
      <w:r>
        <w:t>2026-09-18 — Not benchmark validated: No matched quantitative reference comparison completed for the full exercise.</w:t>
      </w:r>
    </w:p>
    <w:p>
      <w: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hyperlink r:id="rId167">
        <w:r>
          <w:rPr>
            <w:color w:val="176EA4"/>
          </w:rPr>
          <w:t>Validation evidence and tested inputs</w:t>
        </w:r>
      </w:hyperlink>
      <w:r>
        <w:t xml:space="preserve"> </w:t>
      </w:r>
    </w:p>
    <w:p>
      <w:pPr>
        <w:pStyle w:val="Heading2"/>
      </w:pPr>
      <w:r>
        <w:t>Connected models and submodels</w:t>
      </w:r>
    </w:p>
    <w:p>
      <w:r>
        <w:t>Automatic · Finite plate. Automatic selects FSDT for sandwich architecture and CLT otherwise. Static bending requires FSDT. Finite-plate studies do not consume process links or run progressive failure/fatigue.</w:t>
      </w:r>
    </w:p>
    <w:p>
      <w:hyperlink r:id="rId135">
        <w:r>
          <w:rPr>
            <w:color w:val="176EA4"/>
          </w:rPr>
          <w:t>Theory and assumptions</w:t>
        </w:r>
      </w:hyperlink>
      <w:r>
        <w:t xml:space="preserve"> </w:t>
      </w:r>
    </w:p>
    <w:p>
      <w:r>
        <w:t>Study · Static bending. Reference-elastic plate study; progressive failure and fatigue are not evaluated here.</w:t>
      </w:r>
    </w:p>
    <w:p>
      <w:r>
        <w:t>Numerical settings. Ritz order: 6. Shear correction (FSDT only): Energy equivalent. Increase resolution to check convergence.</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36">
        <w:r>
          <w:rPr>
            <w:color w:val="176EA4"/>
          </w:rPr>
          <w:t>FSDT: shared laminate stiffness, shear and plate response</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26" w:name="chapter_26"/>
      <w:pPr>
        <w:pStyle w:val="Heading1"/>
        <w:pageBreakBefore/>
      </w:pPr>
      <w:r>
        <w:t>NASA T700/PR520 lamina analysis</w:t>
      </w:r>
      <w:bookmarkEnd w:id="26"/>
    </w:p>
    <w:p>
      <w:pPr>
        <w:pStyle w:val="Caption"/>
      </w:pPr>
      <w:hyperlink r:id="rId35">
        <w:r>
          <w:rPr>
            <w:color w:val="176EA4"/>
          </w:rPr>
          <w:t>Online chapter</w:t>
        </w:r>
      </w:hyperlink>
      <w:r>
        <w:t xml:space="preserve"> </w:t>
      </w:r>
    </w:p>
    <w:p>
      <w:r>
        <w:t>Constituent-to-lamina comparison. Unidirectional lamina. Models: Halpin–Tsai, Rule of mixtures, MAC/GMC comparison.</w:t>
      </w:r>
    </w:p>
    <w:p>
      <w:hyperlink r:id="rId21">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51" name="Picture 51" descr="CDS workflow or model illustration"/>
            <wp:cNvGraphicFramePr>
              <a:graphicFrameLocks noChangeAspect="1"/>
            </wp:cNvGraphicFramePr>
            <a:graphic>
              <a:graphicData uri="http://schemas.openxmlformats.org/drawingml/2006/picture">
                <pic:pic>
                  <pic:nvPicPr>
                    <pic:cNvPr id="0" name="rsvg-48de5823760dc84efc6f9c4b2a5e55e15ddddf433c12451f40cb07ecd5c1975f.png"/>
                    <pic:cNvPicPr/>
                  </pic:nvPicPr>
                  <pic:blipFill>
                    <a:blip r:embed="rId17"/>
                    <a:stretch>
                      <a:fillRect/>
                    </a:stretch>
                  </pic:blipFill>
                  <pic:spPr>
                    <a:xfrm>
                      <a:off x="0" y="0"/>
                      <a:ext cx="6217920" cy="3067645"/>
                    </a:xfrm>
                    <a:prstGeom prst="rect"/>
                  </pic:spPr>
                </pic:pic>
              </a:graphicData>
            </a:graphic>
          </wp:inline>
        </w:drawing>
      </w:r>
    </w:p>
    <w:p>
      <w:pPr>
        <w:pStyle w:val="Heading2"/>
      </w:pPr>
      <w:r>
        <w:t>Setup</w:t>
      </w:r>
    </w:p>
    <w:p>
      <w:r>
        <w:t>The copied T700/EP180 database is a connected starter, not T700/PR520. Complete the constituent setup below before comparing with NASA.</w:t>
      </w:r>
    </w:p>
    <w:p>
      <w:pPr>
        <w:pStyle w:val="Heading2"/>
      </w:pPr>
      <w:r>
        <w:t>Tasks</w:t>
      </w:r>
    </w:p>
    <w:p>
      <w:r>
        <w:t>Open the linked web walkthrough and NASA/TM–2015-218814. Rename the copied constituents for this study; enter T700 E1/E2/G12 = 230/15/27 GPa, ν12 = 0.20 and density 1.80 g/cm³. Enter PR520 E/ν/G = 4.0 GPa/0.38/1.44 GPa and density 1.25 g/cm³. Preserve the research citation; do not substitute the starter resin properties.</w:t>
      </w:r>
    </w:p>
    <w:p>
      <w:r>
        <w:t>Use continuous unidirectional micromechanics with zero voids. Evaluate Vf = 0.375, 0.733 and 0.800, holding every other input fixed. Save three copies or an optimization comparison.</w:t>
      </w:r>
    </w:p>
    <w:p>
      <w:r>
        <w:t>Compare E1/E2/G12 against 88.5/6.22/2.60, 169.5/9.90/7.00 and 184.7/10.9/6.00 GPa respectively. Report 100 × (CDS − reference) / reference; compare another supported homogenization model.</w:t>
      </w:r>
    </w:p>
    <w:p>
      <w:r>
        <w:t>Save the chosen predicted lamina and source links. Leave unsupported strength and transport data unavailable; do not carry over unrelated starter allowables.</w:t>
      </w:r>
    </w:p>
    <w:p>
      <w:pPr>
        <w:pStyle w:val="Heading2"/>
      </w:pPr>
      <w:r>
        <w:t>Checkpoints</w:t>
      </w:r>
    </w:p>
    <w:p>
      <w:r>
        <w:t>Published MAC/GMC values are external comparison data, not exact acceptance targets for Halpin–Tsai.</w:t>
      </w:r>
    </w:p>
    <w:p>
      <w:r>
        <w:t>Keep the three local fiber-volume regions separate; averaging braid subcells needs justification.</w:t>
      </w:r>
    </w:p>
    <w:p>
      <w:pPr>
        <w:pStyle w:val="Heading2"/>
      </w:pPr>
      <w:r>
        <w:t>Model limits</w:t>
      </w:r>
    </w:p>
    <w:p>
      <w:r>
        <w:t>Constituent-to-lamina screening only. The NASA braid subcells, calibrated LS-DYNA damage and coupon validation are not reproduced.</w:t>
      </w:r>
    </w:p>
    <w:p>
      <w:pPr>
        <w:pStyle w:val="Heading2"/>
      </w:pPr>
      <w:r>
        <w:t>Recorded validation</w:t>
      </w:r>
    </w:p>
    <w:p>
      <w:r>
        <w:t>2026-09-18 — Not benchmark validated: No matched quantitative reference comparison completed for the full exercise.</w:t>
      </w:r>
    </w:p>
    <w:p>
      <w:r>
        <w:t>Constituent-to-lamina screening only. The NASA braid subcells, calibrated LS-DYNA damage and coupon validation are not reproduced.</w:t>
      </w:r>
    </w:p>
    <w:p>
      <w:hyperlink r:id="rId24">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8">
        <w:r>
          <w:rPr>
            <w:color w:val="176EA4"/>
          </w:rPr>
          <w:t>Related case study: NASA lamina analysis</w:t>
        </w:r>
      </w:hyperlink>
      <w:r>
        <w:t xml:space="preserve"> </w:t>
      </w:r>
    </w:p>
    <w:p>
      <w:hyperlink r:id="rId29">
        <w:r>
          <w:rPr>
            <w:color w:val="176EA4"/>
          </w:rPr>
          <w:t>Edit material properties and units</w:t>
        </w:r>
      </w:hyperlink>
      <w:r>
        <w:t xml:space="preserve"> </w:t>
      </w:r>
    </w:p>
    <w:p>
      <w:hyperlink r:id="rId30">
        <w:r>
          <w:rPr>
            <w:color w:val="176EA4"/>
          </w:rPr>
          <w:t>Create and connect a lamina</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33">
        <w:r>
          <w:rPr>
            <w:color w:val="176EA4"/>
          </w:rPr>
          <w:t>Run and review a model</w:t>
        </w:r>
      </w:hyperlink>
      <w:r>
        <w:t xml:space="preserve"> </w:t>
      </w:r>
    </w:p>
    <w:p>
      <w:r>
        <w:t>Record the inputs, units, solver notices and checkpoint results before drawing a conclusion. When exploring a variation, change one factor at a time and compare it with the original case.</w:t>
      </w:r>
    </w:p>
    <w:p>
      <w:bookmarkStart w:id="27" w:name="chapter_27"/>
      <w:pPr>
        <w:pStyle w:val="Heading1"/>
        <w:pageBreakBefore/>
      </w:pPr>
      <w:r>
        <w:t>T700S / 180C Epoxy UD stored-ply elasticity</w:t>
      </w:r>
      <w:bookmarkEnd w:id="27"/>
    </w:p>
    <w:p>
      <w:pPr>
        <w:pStyle w:val="Caption"/>
      </w:pPr>
      <w:hyperlink r:id="rId35">
        <w:r>
          <w:rPr>
            <w:color w:val="176EA4"/>
          </w:rPr>
          <w:t>Online chapter</w:t>
        </w:r>
      </w:hyperlink>
      <w:r>
        <w:t xml:space="preserve"> </w:t>
      </w:r>
    </w:p>
    <w:p>
      <w:r>
        <w:t>Stored ply properties. Infinite plate. Models: Stored lamina elasticity, Classical laminate theory, Maximum stress.</w:t>
      </w:r>
    </w:p>
    <w:p>
      <w:hyperlink r:id="rId168">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52" name="Picture 52" descr="CDS workflow or model illustration"/>
            <wp:cNvGraphicFramePr>
              <a:graphicFrameLocks noChangeAspect="1"/>
            </wp:cNvGraphicFramePr>
            <a:graphic>
              <a:graphicData uri="http://schemas.openxmlformats.org/drawingml/2006/picture">
                <pic:pic>
                  <pic:nvPicPr>
                    <pic:cNvPr id="0" name="rsvg-2e8f689354396732b78e5090913036e36dea95cec7a785146873d132f3591ac4.png"/>
                    <pic:cNvPicPr/>
                  </pic:nvPicPr>
                  <pic:blipFill>
                    <a:blip r:embed="rId169"/>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L-T700-EP180-UD | CDS2026_Beam_Analysis_Examples.cdsdb | 74780b9bf0abab55f0d6a0ff2e885a322196bea12ee6af9b4a08b0ebb7ce0db3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170">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28" w:name="chapter_28"/>
      <w:pPr>
        <w:pStyle w:val="Heading1"/>
        <w:pageBreakBefore/>
      </w:pPr>
      <w:r>
        <w:t>IM7 / Toughened Epoxy UD stored-ply elasticity</w:t>
      </w:r>
      <w:bookmarkEnd w:id="28"/>
    </w:p>
    <w:p>
      <w:pPr>
        <w:pStyle w:val="Caption"/>
      </w:pPr>
      <w:hyperlink r:id="rId35">
        <w:r>
          <w:rPr>
            <w:color w:val="176EA4"/>
          </w:rPr>
          <w:t>Online chapter</w:t>
        </w:r>
      </w:hyperlink>
      <w:r>
        <w:t xml:space="preserve"> </w:t>
      </w:r>
    </w:p>
    <w:p>
      <w:r>
        <w:t>Stored ply properties. Infinite plate. Models: Stored lamina elasticity, Classical laminate theory, Maximum stress.</w:t>
      </w:r>
    </w:p>
    <w:p>
      <w:hyperlink r:id="rId171">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53" name="Picture 53" descr="CDS workflow or model illustration"/>
            <wp:cNvGraphicFramePr>
              <a:graphicFrameLocks noChangeAspect="1"/>
            </wp:cNvGraphicFramePr>
            <a:graphic>
              <a:graphicData uri="http://schemas.openxmlformats.org/drawingml/2006/picture">
                <pic:pic>
                  <pic:nvPicPr>
                    <pic:cNvPr id="0" name="rsvg-334c89f258dd4d562bc46be0991829831d6c0d13999daab14ed9a6f8da1f8aaa.png"/>
                    <pic:cNvPicPr/>
                  </pic:nvPicPr>
                  <pic:blipFill>
                    <a:blip r:embed="rId172"/>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L-IM7-8552-UD | CDS2026_Beam_Analysis_Examples.cdsdb | 74780b9bf0abab55f0d6a0ff2e885a322196bea12ee6af9b4a08b0ebb7ce0db3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173">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29" w:name="chapter_29"/>
      <w:pPr>
        <w:pStyle w:val="Heading1"/>
        <w:pageBreakBefore/>
      </w:pPr>
      <w:r>
        <w:t>T800S / BMI UD stored-ply elasticity</w:t>
      </w:r>
      <w:bookmarkEnd w:id="29"/>
    </w:p>
    <w:p>
      <w:pPr>
        <w:pStyle w:val="Caption"/>
      </w:pPr>
      <w:hyperlink r:id="rId35">
        <w:r>
          <w:rPr>
            <w:color w:val="176EA4"/>
          </w:rPr>
          <w:t>Online chapter</w:t>
        </w:r>
      </w:hyperlink>
      <w:r>
        <w:t xml:space="preserve"> </w:t>
      </w:r>
    </w:p>
    <w:p>
      <w:r>
        <w:t>Stored ply properties. Infinite plate. Models: Stored lamina elasticity, Classical laminate theory, Maximum stress.</w:t>
      </w:r>
    </w:p>
    <w:p>
      <w:hyperlink r:id="rId174">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54" name="Picture 54" descr="CDS workflow or model illustration"/>
            <wp:cNvGraphicFramePr>
              <a:graphicFrameLocks noChangeAspect="1"/>
            </wp:cNvGraphicFramePr>
            <a:graphic>
              <a:graphicData uri="http://schemas.openxmlformats.org/drawingml/2006/picture">
                <pic:pic>
                  <pic:nvPicPr>
                    <pic:cNvPr id="0" name="rsvg-b9a9196f59f2d451082f4210b2247d7ef832cee0ce5f827a9e4a6860def87951.png"/>
                    <pic:cNvPicPr/>
                  </pic:nvPicPr>
                  <pic:blipFill>
                    <a:blip r:embed="rId175"/>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L-T800-BMI-UD | CDS2026_Beam_Analysis_Examples.cdsdb | 74780b9bf0abab55f0d6a0ff2e885a322196bea12ee6af9b4a08b0ebb7ce0db3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176">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30" w:name="chapter_30"/>
      <w:pPr>
        <w:pStyle w:val="Heading1"/>
        <w:pageBreakBefore/>
      </w:pPr>
      <w:r>
        <w:t>AS4 / PEEK UD stored-ply elasticity</w:t>
      </w:r>
      <w:bookmarkEnd w:id="30"/>
    </w:p>
    <w:p>
      <w:pPr>
        <w:pStyle w:val="Caption"/>
      </w:pPr>
      <w:hyperlink r:id="rId35">
        <w:r>
          <w:rPr>
            <w:color w:val="176EA4"/>
          </w:rPr>
          <w:t>Online chapter</w:t>
        </w:r>
      </w:hyperlink>
      <w:r>
        <w:t xml:space="preserve"> </w:t>
      </w:r>
    </w:p>
    <w:p>
      <w:r>
        <w:t>Stored ply properties. Infinite plate. Models: Stored lamina elasticity, Classical laminate theory, Maximum stress.</w:t>
      </w:r>
    </w:p>
    <w:p>
      <w:hyperlink r:id="rId177">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55" name="Picture 55" descr="CDS workflow or model illustration"/>
            <wp:cNvGraphicFramePr>
              <a:graphicFrameLocks noChangeAspect="1"/>
            </wp:cNvGraphicFramePr>
            <a:graphic>
              <a:graphicData uri="http://schemas.openxmlformats.org/drawingml/2006/picture">
                <pic:pic>
                  <pic:nvPicPr>
                    <pic:cNvPr id="0" name="rsvg-39c6a927d56e2fd7c8bb23e33f171d33e5232df7c519fb0f1af5456b56ebb4b9.png"/>
                    <pic:cNvPicPr/>
                  </pic:nvPicPr>
                  <pic:blipFill>
                    <a:blip r:embed="rId178"/>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L-AS4-PEEK-UD | CDS2026_Beam_Analysis_Examples.cdsdb | 74780b9bf0abab55f0d6a0ff2e885a322196bea12ee6af9b4a08b0ebb7ce0db3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179">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31" w:name="chapter_31"/>
      <w:pPr>
        <w:pStyle w:val="Heading1"/>
        <w:pageBreakBefore/>
      </w:pPr>
      <w:r>
        <w:t>T300 / EPON 862 Epoxy UD Prepreg stored-ply elasticity</w:t>
      </w:r>
      <w:bookmarkEnd w:id="31"/>
    </w:p>
    <w:p>
      <w:pPr>
        <w:pStyle w:val="Caption"/>
      </w:pPr>
      <w:hyperlink r:id="rId35">
        <w:r>
          <w:rPr>
            <w:color w:val="176EA4"/>
          </w:rPr>
          <w:t>Online chapter</w:t>
        </w:r>
      </w:hyperlink>
      <w:r>
        <w:t xml:space="preserve"> </w:t>
      </w:r>
    </w:p>
    <w:p>
      <w:r>
        <w:t>Stored ply properties. Infinite plate. Models: Stored lamina elasticity, Classical laminate theory, Maximum stress.</w:t>
      </w:r>
    </w:p>
    <w:p>
      <w:hyperlink r:id="rId180">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56" name="Picture 56" descr="CDS workflow or model illustration"/>
            <wp:cNvGraphicFramePr>
              <a:graphicFrameLocks noChangeAspect="1"/>
            </wp:cNvGraphicFramePr>
            <a:graphic>
              <a:graphicData uri="http://schemas.openxmlformats.org/drawingml/2006/picture">
                <pic:pic>
                  <pic:nvPicPr>
                    <pic:cNvPr id="0" name="rsvg-45bb6f263a3d65dceac7da2b18e5519f420e8b32ee9262ecbb30fbd8363a9227.png"/>
                    <pic:cNvPicPr/>
                  </pic:nvPicPr>
                  <pic:blipFill>
                    <a:blip r:embed="rId181"/>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L-T300-EPON862-UD | CDS2026_Epoxy_Prepregs_5.cdsdb | a577fdadc042d0d4b167acf5698c139b290a27ed0a0c1fbe4708f61f6a9f5313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182">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32" w:name="chapter_32"/>
      <w:pPr>
        <w:pStyle w:val="Heading1"/>
        <w:pageBreakBefore/>
      </w:pPr>
      <w:r>
        <w:t>T800S / 977-3-Type Epoxy UD Prepreg stored-ply elasticity</w:t>
      </w:r>
      <w:bookmarkEnd w:id="32"/>
    </w:p>
    <w:p>
      <w:pPr>
        <w:pStyle w:val="Caption"/>
      </w:pPr>
      <w:hyperlink r:id="rId35">
        <w:r>
          <w:rPr>
            <w:color w:val="176EA4"/>
          </w:rPr>
          <w:t>Online chapter</w:t>
        </w:r>
      </w:hyperlink>
      <w:r>
        <w:t xml:space="preserve"> </w:t>
      </w:r>
    </w:p>
    <w:p>
      <w:r>
        <w:t>Stored ply properties. Infinite plate. Models: Stored lamina elasticity, Classical laminate theory, Maximum stress.</w:t>
      </w:r>
    </w:p>
    <w:p>
      <w:hyperlink r:id="rId183">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57" name="Picture 57" descr="CDS workflow or model illustration"/>
            <wp:cNvGraphicFramePr>
              <a:graphicFrameLocks noChangeAspect="1"/>
            </wp:cNvGraphicFramePr>
            <a:graphic>
              <a:graphicData uri="http://schemas.openxmlformats.org/drawingml/2006/picture">
                <pic:pic>
                  <pic:nvPicPr>
                    <pic:cNvPr id="0" name="rsvg-fb6a466651d5d23212d6096d4b71457dcc612f9ce2fbb8aa3be5d00f5367f521.png"/>
                    <pic:cNvPicPr/>
                  </pic:nvPicPr>
                  <pic:blipFill>
                    <a:blip r:embed="rId184"/>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L-T800-9773-UD | CDS2026_Epoxy_Prepregs_5.cdsdb | a577fdadc042d0d4b167acf5698c139b290a27ed0a0c1fbe4708f61f6a9f5313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185">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33" w:name="chapter_33"/>
      <w:pPr>
        <w:pStyle w:val="Heading1"/>
        <w:pageBreakBefore/>
      </w:pPr>
      <w:r>
        <w:t>AS4 / LY 1564-Type Epoxy UD Prepreg stored-ply elasticity</w:t>
      </w:r>
      <w:bookmarkEnd w:id="33"/>
    </w:p>
    <w:p>
      <w:pPr>
        <w:pStyle w:val="Caption"/>
      </w:pPr>
      <w:hyperlink r:id="rId35">
        <w:r>
          <w:rPr>
            <w:color w:val="176EA4"/>
          </w:rPr>
          <w:t>Online chapter</w:t>
        </w:r>
      </w:hyperlink>
      <w:r>
        <w:t xml:space="preserve"> </w:t>
      </w:r>
    </w:p>
    <w:p>
      <w:r>
        <w:t>Stored ply properties. Infinite plate. Models: Stored lamina elasticity, Classical laminate theory, Maximum stress.</w:t>
      </w:r>
    </w:p>
    <w:p>
      <w:hyperlink r:id="rId186">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58" name="Picture 58" descr="CDS workflow or model illustration"/>
            <wp:cNvGraphicFramePr>
              <a:graphicFrameLocks noChangeAspect="1"/>
            </wp:cNvGraphicFramePr>
            <a:graphic>
              <a:graphicData uri="http://schemas.openxmlformats.org/drawingml/2006/picture">
                <pic:pic>
                  <pic:nvPicPr>
                    <pic:cNvPr id="0" name="rsvg-859ac8d190dcc0a853e3d9fb292a71bfc2f4d039586dab8d2478666cb4bc5c54.png"/>
                    <pic:cNvPicPr/>
                  </pic:nvPicPr>
                  <pic:blipFill>
                    <a:blip r:embed="rId187"/>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L-AS4-LY1564-UD | CDS2026_Epoxy_Prepregs_5.cdsdb | a577fdadc042d0d4b167acf5698c139b290a27ed0a0c1fbe4708f61f6a9f5313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188">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34" w:name="chapter_34"/>
      <w:pPr>
        <w:pStyle w:val="Heading1"/>
        <w:pageBreakBefore/>
      </w:pPr>
      <w:r>
        <w:t>T300 / Phenolic Plain Weave stored-ply elasticity</w:t>
      </w:r>
      <w:bookmarkEnd w:id="34"/>
    </w:p>
    <w:p>
      <w:pPr>
        <w:pStyle w:val="Caption"/>
      </w:pPr>
      <w:hyperlink r:id="rId35">
        <w:r>
          <w:rPr>
            <w:color w:val="176EA4"/>
          </w:rPr>
          <w:t>Online chapter</w:t>
        </w:r>
      </w:hyperlink>
      <w:r>
        <w:t xml:space="preserve"> </w:t>
      </w:r>
    </w:p>
    <w:p>
      <w:r>
        <w:t>Stored ply properties. Infinite plate. Models: Stored lamina elasticity, Classical laminate theory, Maximum stress.</w:t>
      </w:r>
    </w:p>
    <w:p>
      <w:hyperlink r:id="rId189">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59" name="Picture 59" descr="CDS workflow or model illustration"/>
            <wp:cNvGraphicFramePr>
              <a:graphicFrameLocks noChangeAspect="1"/>
            </wp:cNvGraphicFramePr>
            <a:graphic>
              <a:graphicData uri="http://schemas.openxmlformats.org/drawingml/2006/picture">
                <pic:pic>
                  <pic:nvPicPr>
                    <pic:cNvPr id="0" name="rsvg-cc4a5cf6ff9f9619e121d15e23d5c4cf24a3493ae28589e7f402a966b35df54b.png"/>
                    <pic:cNvPicPr/>
                  </pic:nvPicPr>
                  <pic:blipFill>
                    <a:blip r:embed="rId190"/>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L-T300-PHEN-WOVEN | CDS2026_Expanded_Sample_Source.cdsdb | 10821a0fdf842b7ee4040a70b6141838bebee06c14fd2824a9da1d3edc2d3d1d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191">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35" w:name="chapter_35"/>
      <w:pPr>
        <w:pStyle w:val="Heading1"/>
        <w:pageBreakBefore/>
      </w:pPr>
      <w:r>
        <w:t>Laminate orientation and tensile response</w:t>
      </w:r>
      <w:bookmarkEnd w:id="35"/>
    </w:p>
    <w:p>
      <w:pPr>
        <w:pStyle w:val="Caption"/>
      </w:pPr>
      <w:hyperlink r:id="rId35">
        <w:r>
          <w:rPr>
            <w:color w:val="176EA4"/>
          </w:rPr>
          <w:t>Online chapter</w:t>
        </w:r>
      </w:hyperlink>
      <w:r>
        <w:t xml:space="preserve"> </w:t>
      </w:r>
    </w:p>
    <w:p>
      <w:r>
        <w:t>Flat tensile coupon. Finite plate. Models: Classical laminate theory, Linear static, ASTM D3039-based.</w:t>
      </w:r>
    </w:p>
    <w:p>
      <w:hyperlink r:id="rId192">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60" name="Picture 60" descr="CDS workflow or model illustration"/>
            <wp:cNvGraphicFramePr>
              <a:graphicFrameLocks noChangeAspect="1"/>
            </wp:cNvGraphicFramePr>
            <a:graphic>
              <a:graphicData uri="http://schemas.openxmlformats.org/drawingml/2006/picture">
                <pic:pic>
                  <pic:nvPicPr>
                    <pic:cNvPr id="0" name="rsvg-33a152720f829bb3d49136650afbd3ea31040efc77971ead38209e46ef190fb1.png"/>
                    <pic:cNvPicPr/>
                  </pic:nvPicPr>
                  <pic:blipFill>
                    <a:blip r:embed="rId193"/>
                    <a:stretch>
                      <a:fillRect/>
                    </a:stretch>
                  </pic:blipFill>
                  <pic:spPr>
                    <a:xfrm>
                      <a:off x="0" y="0"/>
                      <a:ext cx="6217920" cy="3067645"/>
                    </a:xfrm>
                    <a:prstGeom prst="rect"/>
                  </pic:spPr>
                </pic:pic>
              </a:graphicData>
            </a:graphic>
          </wp:inline>
        </w:drawing>
      </w:r>
    </w:p>
    <w:p>
      <w:pPr>
        <w:pStyle w:val="Heading2"/>
      </w:pPr>
      <w:r>
        <w:t>Tasks</w:t>
      </w:r>
    </w:p>
    <w:p>
      <w:r>
        <w:t>Open the copied laminate and record the initial stacking sequence and total thickness.</w:t>
      </w:r>
    </w:p>
    <w:p>
      <w:r>
        <w:t>Run the tensile example, then compare symmetric cross-ply and balanced ±45° stacks at the same thickness.</w:t>
      </w:r>
    </w:p>
    <w:p>
      <w:r>
        <w:t>Review laminate stiffness and ply stresses; keep force and specimen width unchanged.</w:t>
      </w:r>
    </w:p>
    <w:p>
      <w:pPr>
        <w:pStyle w:val="Heading2"/>
      </w:pPr>
      <w:r>
        <w:t>Checkpoints</w:t>
      </w:r>
    </w:p>
    <w:p>
      <w:r>
        <w:t>Geometry supplies the finite coupon width; the load is a total force.</w:t>
      </w:r>
    </w:p>
    <w:p>
      <w:r>
        <w:t>A symmetric layup should have negligible extension–bending coupling.</w:t>
      </w:r>
    </w:p>
    <w:p>
      <w:pPr>
        <w:pStyle w:val="Heading2"/>
      </w:pPr>
      <w:r>
        <w:t>Model limits</w:t>
      </w:r>
    </w:p>
    <w:p>
      <w:r>
        <w:t>ASTM-based teaching geometry, not certification. Grips, tabs, alignment and physical test validity are not simulated.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ASTM-based teaching geometry, not certification. Grips, tabs, alignment and physical test validity are not simulated.</w:t>
      </w:r>
    </w:p>
    <w:p>
      <w:hyperlink r:id="rId194">
        <w:r>
          <w:rPr>
            <w:color w:val="176EA4"/>
          </w:rPr>
          <w:t>Validation evidence and tested inputs</w:t>
        </w:r>
      </w:hyperlink>
      <w:r>
        <w:t xml:space="preserve"> </w:t>
      </w:r>
    </w:p>
    <w:p>
      <w:pPr>
        <w:pStyle w:val="Heading2"/>
      </w:pPr>
      <w:r>
        <w:t>Connected models and submodels</w:t>
      </w:r>
    </w:p>
    <w:p>
      <w:r>
        <w:t>CLT · Linear static.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28">
        <w:r>
          <w:rPr>
            <w:color w:val="176EA4"/>
          </w:rPr>
          <w:t>Edit laminate materials, angles and thicknesses</w:t>
        </w:r>
      </w:hyperlink>
      <w:r>
        <w:t xml:space="preserve"> </w:t>
      </w:r>
    </w:p>
    <w:p>
      <w:hyperlink r:id="rId195">
        <w:r>
          <w:rPr>
            <w:color w:val="176EA4"/>
          </w:rPr>
          <w:t>Apply symmetry and balance</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137">
        <w:r>
          <w:rPr>
            <w:color w:val="176EA4"/>
          </w:rPr>
          <w:t>Geometry, loading and virtual tests</w:t>
        </w:r>
      </w:hyperlink>
      <w:r>
        <w:t xml:space="preserve"> </w:t>
      </w:r>
    </w:p>
    <w:p>
      <w:pPr>
        <w:keepNext/>
      </w:pPr>
      <w:hyperlink r:id="rId196">
        <w:r>
          <w:rPr>
            <w:color w:val="176EA4"/>
          </w:rPr>
          <w:t>Related case study: NASA laminate design</w:t>
        </w:r>
      </w:hyperlink>
      <w:r>
        <w:t xml:space="preserve"> </w:t>
      </w:r>
    </w:p>
    <w:p>
      <w:r>
        <w:t>Record the inputs, units, solver notices and checkpoint results before drawing a conclusion. When exploring a variation, change one factor at a time and compare it with the original case.</w:t>
      </w:r>
    </w:p>
    <w:p>
      <w:bookmarkStart w:id="36" w:name="chapter_36"/>
      <w:pPr>
        <w:pStyle w:val="Heading1"/>
        <w:pageBreakBefore/>
      </w:pPr>
      <w:r>
        <w:t>±45° coupon in-plane shear</w:t>
      </w:r>
      <w:bookmarkEnd w:id="36"/>
    </w:p>
    <w:p>
      <w:pPr>
        <w:pStyle w:val="Caption"/>
      </w:pPr>
      <w:hyperlink r:id="rId35">
        <w:r>
          <w:rPr>
            <w:color w:val="176EA4"/>
          </w:rPr>
          <w:t>Online chapter</w:t>
        </w:r>
      </w:hyperlink>
      <w:r>
        <w:t xml:space="preserve"> </w:t>
      </w:r>
    </w:p>
    <w:p>
      <w:r>
        <w:t>Shear characterization. Finite plate. Models: Classical laminate theory, ASTM D3518-based.</w:t>
      </w:r>
    </w:p>
    <w:p>
      <w:hyperlink r:id="rId197">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61" name="Picture 61" descr="CDS workflow or model illustration"/>
            <wp:cNvGraphicFramePr>
              <a:graphicFrameLocks noChangeAspect="1"/>
            </wp:cNvGraphicFramePr>
            <a:graphic>
              <a:graphicData uri="http://schemas.openxmlformats.org/drawingml/2006/picture">
                <pic:pic>
                  <pic:nvPicPr>
                    <pic:cNvPr id="0" name="rsvg-5e1dd2d7713c55dff06e02857c79de8650add1a30c48c4dc58fc8c9ce2782df0.png"/>
                    <pic:cNvPicPr/>
                  </pic:nvPicPr>
                  <pic:blipFill>
                    <a:blip r:embed="rId198"/>
                    <a:stretch>
                      <a:fillRect/>
                    </a:stretch>
                  </pic:blipFill>
                  <pic:spPr>
                    <a:xfrm>
                      <a:off x="0" y="0"/>
                      <a:ext cx="6217920" cy="3067645"/>
                    </a:xfrm>
                    <a:prstGeom prst="rect"/>
                  </pic:spPr>
                </pic:pic>
              </a:graphicData>
            </a:graphic>
          </wp:inline>
        </w:drawing>
      </w:r>
    </w:p>
    <w:p>
      <w:pPr>
        <w:pStyle w:val="Heading2"/>
      </w:pPr>
      <w:r>
        <w:t>Tasks</w:t>
      </w:r>
    </w:p>
    <w:p>
      <w:r>
        <w:t>Inspect the balanced ±45° laminate and its axial tensile load.</w:t>
      </w:r>
    </w:p>
    <w:p>
      <w:r>
        <w:t>Run and inspect material-axis shear stresses and global strains.</w:t>
      </w:r>
    </w:p>
    <w:p>
      <w:r>
        <w:t>Compare nominal shear stress P/(2bt) with the applicable output and explain the coordinate transformation.</w:t>
      </w:r>
    </w:p>
    <w:p>
      <w:pPr>
        <w:pStyle w:val="Heading2"/>
      </w:pPr>
      <w:r>
        <w:t>Checkpoints</w:t>
      </w:r>
    </w:p>
    <w:p>
      <w:r>
        <w:t>The applied load is axial tension, not a directly applied global shear force.</w:t>
      </w:r>
    </w:p>
    <w:p>
      <w:r>
        <w:t>Keep the distinction between global strains and material-axis shear strain.</w:t>
      </w:r>
    </w:p>
    <w:p>
      <w:pPr>
        <w:pStyle w:val="Heading2"/>
      </w:pPr>
      <w:r>
        <w:t>Model limits</w:t>
      </w:r>
    </w:p>
    <w:p>
      <w:r>
        <w:t>Small-strain elastic teaching model; fibre rotation and nonlinear termination rules are not represented.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Small-strain elastic teaching model; fibre rotation and nonlinear termination rules are not represented.</w:t>
      </w:r>
    </w:p>
    <w:p>
      <w:hyperlink r:id="rId199">
        <w:r>
          <w:rPr>
            <w:color w:val="176EA4"/>
          </w:rPr>
          <w:t>Validation evidence and tested inputs</w:t>
        </w:r>
      </w:hyperlink>
      <w:r>
        <w:t xml:space="preserve"> </w:t>
      </w:r>
    </w:p>
    <w:p>
      <w:pPr>
        <w:pStyle w:val="Heading2"/>
      </w:pPr>
      <w:r>
        <w:t>Connected models and submodels</w:t>
      </w:r>
    </w:p>
    <w:p>
      <w:r>
        <w:t>CLT · Linear static.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28">
        <w:r>
          <w:rPr>
            <w:color w:val="176EA4"/>
          </w:rPr>
          <w:t>Edit laminate materials, angles and thicknesses</w:t>
        </w:r>
      </w:hyperlink>
      <w:r>
        <w:t xml:space="preserve"> </w:t>
      </w:r>
    </w:p>
    <w:p>
      <w:hyperlink r:id="rId137">
        <w:r>
          <w:rPr>
            <w:color w:val="176EA4"/>
          </w:rPr>
          <w:t>Geometry, loading and virtual tests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pPr>
        <w:keepNext/>
      </w:pPr>
      <w:hyperlink r:id="rId196">
        <w:r>
          <w:rPr>
            <w:color w:val="176EA4"/>
          </w:rPr>
          <w:t>Related case study: NASA laminate design</w:t>
        </w:r>
      </w:hyperlink>
      <w:r>
        <w:t xml:space="preserve"> </w:t>
      </w:r>
    </w:p>
    <w:p>
      <w:r>
        <w:t>Record the inputs, units, solver notices and checkpoint results before drawing a conclusion. When exploring a variation, change one factor at a time and compare it with the original case.</w:t>
      </w:r>
    </w:p>
    <w:p>
      <w:bookmarkStart w:id="37" w:name="chapter_37"/>
      <w:pPr>
        <w:pStyle w:val="Heading1"/>
        <w:pageBreakBefore/>
      </w:pPr>
      <w:r>
        <w:t>Three-point bending span and stiffness</w:t>
      </w:r>
      <w:bookmarkEnd w:id="37"/>
    </w:p>
    <w:p>
      <w:pPr>
        <w:pStyle w:val="Caption"/>
      </w:pPr>
      <w:hyperlink r:id="rId35">
        <w:r>
          <w:rPr>
            <w:color w:val="176EA4"/>
          </w:rPr>
          <w:t>Online chapter</w:t>
        </w:r>
      </w:hyperlink>
      <w:r>
        <w:t xml:space="preserve"> </w:t>
      </w:r>
    </w:p>
    <w:p>
      <w:r>
        <w:t>Flexural coupon. Plate in three-point bend. Models: Euler–Bernoulli beam, ASTM D7264-based.</w:t>
      </w:r>
    </w:p>
    <w:p>
      <w:hyperlink r:id="rId200">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62" name="Picture 62" descr="CDS workflow or model illustration"/>
            <wp:cNvGraphicFramePr>
              <a:graphicFrameLocks noChangeAspect="1"/>
            </wp:cNvGraphicFramePr>
            <a:graphic>
              <a:graphicData uri="http://schemas.openxmlformats.org/drawingml/2006/picture">
                <pic:pic>
                  <pic:nvPicPr>
                    <pic:cNvPr id="0" name="rsvg-9394f6f8b4caedc366fc83fd57feb0ec07a465bc17cc4f5f4aeaa7cc8fc4c03e.png"/>
                    <pic:cNvPicPr/>
                  </pic:nvPicPr>
                  <pic:blipFill>
                    <a:blip r:embed="rId201"/>
                    <a:stretch>
                      <a:fillRect/>
                    </a:stretch>
                  </pic:blipFill>
                  <pic:spPr>
                    <a:xfrm>
                      <a:off x="0" y="0"/>
                      <a:ext cx="6217920" cy="3067645"/>
                    </a:xfrm>
                    <a:prstGeom prst="rect"/>
                  </pic:spPr>
                </pic:pic>
              </a:graphicData>
            </a:graphic>
          </wp:inline>
        </w:drawing>
      </w:r>
    </w:p>
    <w:p>
      <w:pPr>
        <w:pStyle w:val="Heading2"/>
      </w:pPr>
      <w:r>
        <w:t>Tasks</w:t>
      </w:r>
    </w:p>
    <w:p>
      <w:r>
        <w:t>Inspect specimen width, laminate thickness, support span and central force.</w:t>
      </w:r>
    </w:p>
    <w:p>
      <w:r>
        <w:t>Run and inspect the deflection plot and ply stresses.</w:t>
      </w:r>
    </w:p>
    <w:p>
      <w:r>
        <w:t>Change support span by 20% while maintaining sufficient specimen length, rerun, and compare peak deflection.</w:t>
      </w:r>
    </w:p>
    <w:p>
      <w:pPr>
        <w:pStyle w:val="Heading2"/>
      </w:pPr>
      <w:r>
        <w:t>Checkpoints</w:t>
      </w:r>
    </w:p>
    <w:p>
      <w:r>
        <w:t>Check the support and loading graphic against the setup.</w:t>
      </w:r>
    </w:p>
    <w:p>
      <w:r>
        <w:t>For unchanged effective EI and load, beam deflection scales with span cubed.</w:t>
      </w:r>
    </w:p>
    <w:p>
      <w:pPr>
        <w:pStyle w:val="Heading2"/>
      </w:pPr>
      <w:r>
        <w:t>Model limits</w:t>
      </w:r>
    </w:p>
    <w:p>
      <w:r>
        <w:t>Procedure A teaching setup. Transverse shear deformation, roller contact and indentation are excluded.</w:t>
      </w:r>
    </w:p>
    <w:p>
      <w:pPr>
        <w:pStyle w:val="Heading2"/>
      </w:pPr>
      <w:r>
        <w:t>Recorded validation</w:t>
      </w:r>
    </w:p>
    <w:p>
      <w:r>
        <w:t>2026-09-18 — Benchmark validated — analytical scope: Central-load beam deflection and shear, conditional on the reported effective Ex. Material elasticity, ply stress and failure not validated.</w:t>
      </w:r>
    </w:p>
    <w:p>
      <w:r>
        <w:t>Procedure A teaching setup. Transverse shear deformation, roller contact and indentation are excluded.</w:t>
      </w:r>
    </w:p>
    <w:p>
      <w:hyperlink r:id="rId202">
        <w:r>
          <w:rPr>
            <w:color w:val="176EA4"/>
          </w:rPr>
          <w:t>Validation evidence and tested inputs</w:t>
        </w:r>
      </w:hyperlink>
      <w:r>
        <w:t xml:space="preserve"> </w:t>
      </w:r>
    </w:p>
    <w:p>
      <w:pPr>
        <w:pStyle w:val="Heading2"/>
      </w:pPr>
      <w:r>
        <w:t>Connected models and submodels</w:t>
      </w:r>
    </w:p>
    <w:p>
      <w:r>
        <w:t>Euler–Bernoulli beam · Linear static. Beam bending uses effective laminate axial stiffness, the linked section geometry, support span and applied loading. Euler–Bernoulli deflection excludes transverse shear deformation, roller contact and indentation. Ply stress recovery for rectangular laminate coupons is separate from section-level beam stress recovery.</w:t>
      </w:r>
    </w:p>
    <w:p>
      <w:hyperlink r:id="rId203">
        <w:r>
          <w:rPr>
            <w:color w:val="176EA4"/>
          </w:rPr>
          <w:t>Theory and assumptions</w:t>
        </w:r>
      </w:hyperlink>
      <w:r>
        <w:t xml:space="preserve"> </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37">
        <w:r>
          <w:rPr>
            <w:color w:val="176EA4"/>
          </w:rPr>
          <w:t>Geometry, loading and virtual tests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38" w:name="chapter_38"/>
      <w:pPr>
        <w:pStyle w:val="Heading1"/>
        <w:pageBreakBefore/>
      </w:pPr>
      <w:r>
        <w:t>Thin-wall pressure vessel</w:t>
      </w:r>
      <w:bookmarkEnd w:id="38"/>
    </w:p>
    <w:p>
      <w:pPr>
        <w:pStyle w:val="Caption"/>
      </w:pPr>
      <w:hyperlink r:id="rId35">
        <w:r>
          <w:rPr>
            <w:color w:val="176EA4"/>
          </w:rPr>
          <w:t>Online chapter</w:t>
        </w:r>
      </w:hyperlink>
      <w:r>
        <w:t xml:space="preserve"> </w:t>
      </w:r>
    </w:p>
    <w:p>
      <w:r>
        <w:t>Pressure vessel. Circular tube. Models: Thin-wall membrane, Classical laminate theory.</w:t>
      </w:r>
    </w:p>
    <w:p>
      <w:hyperlink r:id="rId204">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63" name="Picture 63" descr="CDS workflow or model illustration"/>
            <wp:cNvGraphicFramePr>
              <a:graphicFrameLocks noChangeAspect="1"/>
            </wp:cNvGraphicFramePr>
            <a:graphic>
              <a:graphicData uri="http://schemas.openxmlformats.org/drawingml/2006/picture">
                <pic:pic>
                  <pic:nvPicPr>
                    <pic:cNvPr id="0" name="rsvg-2c9fa79bef236664170b2c8b240b79301323ded666c8b835283cb57575ba4058.png"/>
                    <pic:cNvPicPr/>
                  </pic:nvPicPr>
                  <pic:blipFill>
                    <a:blip r:embed="rId205"/>
                    <a:stretch>
                      <a:fillRect/>
                    </a:stretch>
                  </pic:blipFill>
                  <pic:spPr>
                    <a:xfrm>
                      <a:off x="0" y="0"/>
                      <a:ext cx="6217920" cy="3067645"/>
                    </a:xfrm>
                    <a:prstGeom prst="rect"/>
                  </pic:spPr>
                </pic:pic>
              </a:graphicData>
            </a:graphic>
          </wp:inline>
        </w:drawing>
      </w:r>
    </w:p>
    <w:p>
      <w:pPr>
        <w:pStyle w:val="Heading2"/>
      </w:pPr>
      <w:r>
        <w:t>Tasks</w:t>
      </w:r>
    </w:p>
    <w:p>
      <w:r>
        <w:t>Inspect the tube dimensions in Geometry and pressure/end conditions in CASES.</w:t>
      </w:r>
    </w:p>
    <w:p>
      <w:r>
        <w:t>Run the closed-end vessel; compare hoop and axial membrane resultants.</w:t>
      </w:r>
    </w:p>
    <w:p>
      <w:r>
        <w:t>Vary the hoop/axial ply balance and rerun without changing the geometry or pressure.</w:t>
      </w:r>
    </w:p>
    <w:p>
      <w:pPr>
        <w:pStyle w:val="Heading2"/>
      </w:pPr>
      <w:r>
        <w:t>Checkpoints</w:t>
      </w:r>
    </w:p>
    <w:p>
      <w:r>
        <w:t>For zero external pressure, closed ends and no additional axial load, hoop resultant is twice the pressure-induced axial resultant.</w:t>
      </w:r>
    </w:p>
    <w:p>
      <w:r>
        <w:t>Verify the wall is sufficiently thin for the selected theory.</w:t>
      </w:r>
    </w:p>
    <w:p>
      <w:pPr>
        <w:pStyle w:val="Heading2"/>
      </w:pPr>
      <w:r>
        <w:t>Model limits</w:t>
      </w:r>
    </w:p>
    <w:p>
      <w:r>
        <w:t>Thin-wall membrane theory: no through-wall radial stress profile or local end effects.</w:t>
      </w:r>
    </w:p>
    <w:p>
      <w:pPr>
        <w:pStyle w:val="Heading2"/>
      </w:pPr>
      <w:r>
        <w:t>Recorded validation</w:t>
      </w:r>
    </w:p>
    <w:p>
      <w:r>
        <w:t>2026-09-18 — Benchmark validated — analytical scope: Thin-wall pressure equilibrium and orthotropic biaxial strain comparison; stiffness inputs are conditional where Micro closure has not been verified.</w:t>
      </w:r>
    </w:p>
    <w:p>
      <w:r>
        <w:t>Thin-wall membrane theory: no through-wall radial stress profile or local end effects.</w:t>
      </w:r>
    </w:p>
    <w:p>
      <w:hyperlink r:id="rId206">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CLT · Linear thin-wall membrane. Shared laminate stiffness drives this membrane/CLT path. Failure criteria are independent comparisons, not blended models. Fatigue is a separate assessment.</w:t>
      </w:r>
    </w:p>
    <w:p>
      <w:hyperlink r:id="rId39">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37">
        <w:r>
          <w:rPr>
            <w:color w:val="176EA4"/>
          </w:rPr>
          <w:t>Geometry, loading and virtual tests</w:t>
        </w:r>
      </w:hyperlink>
      <w:r>
        <w:t xml:space="preserve"> </w:t>
      </w:r>
    </w:p>
    <w:p>
      <w:hyperlink r:id="rId207">
        <w:r>
          <w:rPr>
            <w:color w:val="176EA4"/>
          </w:rPr>
          <w:t>Related case study: NASA pressure cylinder</w:t>
        </w:r>
      </w:hyperlink>
      <w:r>
        <w:t xml:space="preserve"> </w:t>
      </w:r>
    </w:p>
    <w:p>
      <w:hyperlink r:id="rId33">
        <w:r>
          <w:rPr>
            <w:color w:val="176EA4"/>
          </w:rPr>
          <w:t>Run and review a model</w:t>
        </w:r>
      </w:hyperlink>
      <w:r>
        <w:t xml:space="preserve"> </w:t>
      </w:r>
    </w:p>
    <w:p>
      <w:hyperlink r:id="rId128">
        <w:r>
          <w:rPr>
            <w:color w:val="176EA4"/>
          </w:rPr>
          <w:t>Edit laminate materials, angles and thicknesses</w:t>
        </w:r>
      </w:hyperlink>
      <w:r>
        <w:t xml:space="preserve"> </w:t>
      </w:r>
    </w:p>
    <w:p>
      <w:pPr>
        <w:keepNext/>
      </w:pPr>
      <w:hyperlink r:id="rId195">
        <w:r>
          <w:rPr>
            <w:color w:val="176EA4"/>
          </w:rPr>
          <w:t>Apply symmetry and balance</w:t>
        </w:r>
      </w:hyperlink>
      <w:r>
        <w:t xml:space="preserve"> </w:t>
      </w:r>
    </w:p>
    <w:p>
      <w:r>
        <w:t>Record the inputs, units, solver notices and checkpoint results before drawing a conclusion. When exploring a variation, change one factor at a time and compare it with the original case.</w:t>
      </w:r>
    </w:p>
    <w:p>
      <w:bookmarkStart w:id="39" w:name="chapter_39"/>
      <w:pPr>
        <w:pStyle w:val="Heading1"/>
        <w:pageBreakBefore/>
      </w:pPr>
      <w:r>
        <w:t>05 Tensile coupon laminate orientation</w:t>
      </w:r>
      <w:bookmarkEnd w:id="39"/>
    </w:p>
    <w:p>
      <w:pPr>
        <w:pStyle w:val="Caption"/>
      </w:pPr>
      <w:hyperlink r:id="rId35">
        <w:r>
          <w:rPr>
            <w:color w:val="176EA4"/>
          </w:rPr>
          <w:t>Online chapter</w:t>
        </w:r>
      </w:hyperlink>
      <w:r>
        <w:t xml:space="preserve"> </w:t>
      </w:r>
    </w:p>
    <w:p>
      <w:r>
        <w:t>Flat tensile coupon. Finite plate. Models: Classical laminate theory, Linear static, ASTM D3039-based.</w:t>
      </w:r>
    </w:p>
    <w:p>
      <w:hyperlink r:id="rId208">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64" name="Picture 64" descr="CDS workflow or model illustration"/>
            <wp:cNvGraphicFramePr>
              <a:graphicFrameLocks noChangeAspect="1"/>
            </wp:cNvGraphicFramePr>
            <a:graphic>
              <a:graphicData uri="http://schemas.openxmlformats.org/drawingml/2006/picture">
                <pic:pic>
                  <pic:nvPicPr>
                    <pic:cNvPr id="0" name="rsvg-bd62074ad69261a5c0207d3d7ebe658082b71223470f8bd0c91365b41a70a0d7.png"/>
                    <pic:cNvPicPr/>
                  </pic:nvPicPr>
                  <pic:blipFill>
                    <a:blip r:embed="rId209"/>
                    <a:stretch>
                      <a:fillRect/>
                    </a:stretch>
                  </pic:blipFill>
                  <pic:spPr>
                    <a:xfrm>
                      <a:off x="0" y="0"/>
                      <a:ext cx="6217920" cy="3067645"/>
                    </a:xfrm>
                    <a:prstGeom prst="rect"/>
                  </pic:spPr>
                </pic:pic>
              </a:graphicData>
            </a:graphic>
          </wp:inline>
        </w:drawing>
      </w:r>
    </w:p>
    <w:p>
      <w:pPr>
        <w:pStyle w:val="Heading2"/>
      </w:pPr>
      <w:r>
        <w:t>Tasks</w:t>
      </w:r>
    </w:p>
    <w:p>
      <w:r>
        <w:t>Open the copied laminate and record the initial stacking sequence and total thickness.</w:t>
      </w:r>
    </w:p>
    <w:p>
      <w:r>
        <w:t>Run the tensile example, then compare symmetric cross-ply and balanced ±45° stacks at the same thickness.</w:t>
      </w:r>
    </w:p>
    <w:p>
      <w:r>
        <w:t>Review laminate stiffness and ply stresses; keep force and specimen width unchanged.</w:t>
      </w:r>
    </w:p>
    <w:p>
      <w:pPr>
        <w:pStyle w:val="Heading2"/>
      </w:pPr>
      <w:r>
        <w:t>Checkpoints</w:t>
      </w:r>
    </w:p>
    <w:p>
      <w:r>
        <w:t>Geometry supplies the finite coupon width; the load is a total force.</w:t>
      </w:r>
    </w:p>
    <w:p>
      <w:r>
        <w:t>A symmetric layup should have negligible extension–bending coupling.</w:t>
      </w:r>
    </w:p>
    <w:p>
      <w:pPr>
        <w:pStyle w:val="Heading2"/>
      </w:pPr>
      <w:r>
        <w:t>Model limits</w:t>
      </w:r>
    </w:p>
    <w:p>
      <w:r>
        <w:t>ASTM-based teaching geometry, not certification. Grips, tabs, alignment and physical test validity are not simulated.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ASTM-based teaching geometry, not certification. Grips, tabs, alignment and physical test validity are not simulated.</w:t>
      </w:r>
    </w:p>
    <w:p>
      <w:hyperlink r:id="rId210">
        <w:r>
          <w:rPr>
            <w:color w:val="176EA4"/>
          </w:rPr>
          <w:t>Validation evidence and tested inputs</w:t>
        </w:r>
      </w:hyperlink>
      <w:r>
        <w:t xml:space="preserve"> </w:t>
      </w:r>
    </w:p>
    <w:p>
      <w:pPr>
        <w:pStyle w:val="Heading2"/>
      </w:pPr>
      <w:r>
        <w:t>Connected models and submodels</w:t>
      </w:r>
    </w:p>
    <w:p>
      <w:r>
        <w:t>CLT · Linear static.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28">
        <w:r>
          <w:rPr>
            <w:color w:val="176EA4"/>
          </w:rPr>
          <w:t>Edit laminate materials, angles and thicknesses</w:t>
        </w:r>
      </w:hyperlink>
      <w:r>
        <w:t xml:space="preserve"> </w:t>
      </w:r>
    </w:p>
    <w:p>
      <w:hyperlink r:id="rId195">
        <w:r>
          <w:rPr>
            <w:color w:val="176EA4"/>
          </w:rPr>
          <w:t>Apply symmetry and balance</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137">
        <w:r>
          <w:rPr>
            <w:color w:val="176EA4"/>
          </w:rPr>
          <w:t>Geometry, loading and virtual tests</w:t>
        </w:r>
      </w:hyperlink>
      <w:r>
        <w:t xml:space="preserve"> </w:t>
      </w:r>
    </w:p>
    <w:p>
      <w:pPr>
        <w:keepNext/>
      </w:pPr>
      <w:hyperlink r:id="rId196">
        <w:r>
          <w:rPr>
            <w:color w:val="176EA4"/>
          </w:rPr>
          <w:t>Related case study: NASA laminate design</w:t>
        </w:r>
      </w:hyperlink>
      <w:r>
        <w:t xml:space="preserve"> </w:t>
      </w:r>
    </w:p>
    <w:p>
      <w:r>
        <w:t>Record the inputs, units, solver notices and checkpoint results before drawing a conclusion. When exploring a variation, change one factor at a time and compare it with the original case.</w:t>
      </w:r>
    </w:p>
    <w:p>
      <w:bookmarkStart w:id="40" w:name="chapter_40"/>
      <w:pPr>
        <w:pStyle w:val="Heading1"/>
        <w:pageBreakBefore/>
      </w:pPr>
      <w:r>
        <w:t>Sandwich FSDT biaxial compression buckling</w:t>
      </w:r>
      <w:bookmarkEnd w:id="40"/>
    </w:p>
    <w:p>
      <w:pPr>
        <w:pStyle w:val="Caption"/>
      </w:pPr>
      <w:hyperlink r:id="rId35">
        <w:r>
          <w:rPr>
            <w:color w:val="176EA4"/>
          </w:rPr>
          <w:t>Online chapter</w:t>
        </w:r>
      </w:hyperlink>
      <w:r>
        <w:t xml:space="preserve"> </w:t>
      </w:r>
    </w:p>
    <w:p>
      <w:r>
        <w:t>Sandwich panel stability. Finite rectangular plate. Models: FSDT, Classical laminate theory, Transverse shear, Linear buckling.</w:t>
      </w:r>
    </w:p>
    <w:p>
      <w:hyperlink r:id="rId211">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65" name="Picture 65" descr="CDS workflow or model illustration"/>
            <wp:cNvGraphicFramePr>
              <a:graphicFrameLocks noChangeAspect="1"/>
            </wp:cNvGraphicFramePr>
            <a:graphic>
              <a:graphicData uri="http://schemas.openxmlformats.org/drawingml/2006/picture">
                <pic:pic>
                  <pic:nvPicPr>
                    <pic:cNvPr id="0" name="rsvg-5d2ecdadec7325097bd35c429a9d96d8ca1786462002ca9cdc6d379d240e6daf.png"/>
                    <pic:cNvPicPr/>
                  </pic:nvPicPr>
                  <pic:blipFill>
                    <a:blip r:embed="rId212"/>
                    <a:stretch>
                      <a:fillRect/>
                    </a:stretch>
                  </pic:blipFill>
                  <pic:spPr>
                    <a:xfrm>
                      <a:off x="0" y="0"/>
                      <a:ext cx="6217920" cy="3067645"/>
                    </a:xfrm>
                    <a:prstGeom prst="rect"/>
                  </pic:spPr>
                </pic:pic>
              </a:graphicData>
            </a:graphic>
          </wp:inline>
        </w:drawing>
      </w:r>
    </w:p>
    <w:p>
      <w:pPr>
        <w:pStyle w:val="Heading2"/>
      </w:pPr>
      <w:r>
        <w:t>Tasks</w:t>
      </w:r>
    </w:p>
    <w:p>
      <w:r>
        <w:t>Open Simulation: check the shared skins/core, 1 / 18 / 1 mm stack, 300 × 200 mm Geometry, and paired Loading. Architecture must be Sandwich Structures; Automatic resolves to FSDT with Energy equivalent shear correction.</w:t>
      </w:r>
    </w:p>
    <w:p>
      <w:r>
        <w:t>Run biaxial buckling with Nx = −1000 N/m and Ny = −500 N/m. Multiply both reference loads by the first positive factor to obtain the proportional critical load pair. Repeat with Ny = 0.</w:t>
      </w:r>
    </w:p>
    <w:p>
      <w:r>
        <w:t>Increase Ritz order from 6 to 8; compare the quantity of interest before interpreting the result.</w:t>
      </w:r>
    </w:p>
    <w:p>
      <w:r>
        <w:t>Select explicit CLT as a comparison, keeping all other inputs unchanged. Explain the difference due to transverse shear flexibility.</w:t>
      </w:r>
    </w:p>
    <w:p>
      <w:pPr>
        <w:pStyle w:val="Heading2"/>
      </w:pPr>
      <w:r>
        <w:t>Checkpoints</w:t>
      </w:r>
    </w:p>
    <w:p>
      <w:r>
        <w:t>Geometry owns length and width; Laminate owns skin/core thicknesses.</w:t>
      </w:r>
    </w:p>
    <w:p>
      <w:r>
        <w:t>Static pressure and membrane loads are never combined in these examples. Modal loads are all zero.</w:t>
      </w:r>
    </w:p>
    <w:p>
      <w:r>
        <w:t>Buckling factor is not a skin, core, bond or postbuckling strength limit.</w:t>
      </w:r>
    </w:p>
    <w:p>
      <w:r>
        <w:t>Completion does not assess wrinkling, core crushing, debonding or delamination.</w:t>
      </w:r>
    </w:p>
    <w:p>
      <w:pPr>
        <w:pStyle w:val="Heading2"/>
      </w:pPr>
      <w:r>
        <w:t>Model limits</w:t>
      </w:r>
    </w:p>
    <w:p>
      <w: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pStyle w:val="Heading2"/>
      </w:pPr>
      <w:r>
        <w:t>Recorded validation</w:t>
      </w:r>
    </w:p>
    <w:p>
      <w:r>
        <w:t>2026-09-18 — Not benchmark validated: No matched quantitative reference comparison completed for the full exercise.</w:t>
      </w:r>
    </w:p>
    <w:p>
      <w: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hyperlink r:id="rId213">
        <w:r>
          <w:rPr>
            <w:color w:val="176EA4"/>
          </w:rPr>
          <w:t>Validation evidence and tested inputs</w:t>
        </w:r>
      </w:hyperlink>
      <w:r>
        <w:t xml:space="preserve"> </w:t>
      </w:r>
    </w:p>
    <w:p>
      <w:pPr>
        <w:pStyle w:val="Heading2"/>
      </w:pPr>
      <w:r>
        <w:t>Connected models and submodels</w:t>
      </w:r>
    </w:p>
    <w:p>
      <w:r>
        <w:t>Automatic · Finite plate. Automatic selects FSDT for sandwich architecture and CLT otherwise. Static bending requires FSDT. Finite-plate studies do not consume process links or run progressive failure/fatigue.</w:t>
      </w:r>
    </w:p>
    <w:p>
      <w:hyperlink r:id="rId135">
        <w:r>
          <w:rPr>
            <w:color w:val="176EA4"/>
          </w:rPr>
          <w:t>Theory and assumptions</w:t>
        </w:r>
      </w:hyperlink>
      <w:r>
        <w:t xml:space="preserve"> </w:t>
      </w:r>
    </w:p>
    <w:p>
      <w:r>
        <w:t>Study · Buckling. Reference-elastic plate study; progressive failure and fatigue are not evaluated here.</w:t>
      </w:r>
    </w:p>
    <w:p>
      <w:r>
        <w:t>Numerical settings. Ritz order: 6. Shear correction (FSDT only): Energy equivalent. Increase resolution to check convergence.</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36">
        <w:r>
          <w:rPr>
            <w:color w:val="176EA4"/>
          </w:rPr>
          <w:t>FSDT: shared laminate stiffness, shear and plate response</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41" w:name="chapter_41"/>
      <w:pPr>
        <w:pStyle w:val="Heading1"/>
        <w:pageBreakBefore/>
      </w:pPr>
      <w:r>
        <w:t>06 ±45° laminate in-plane shear</w:t>
      </w:r>
      <w:bookmarkEnd w:id="41"/>
    </w:p>
    <w:p>
      <w:pPr>
        <w:pStyle w:val="Caption"/>
      </w:pPr>
      <w:hyperlink r:id="rId35">
        <w:r>
          <w:rPr>
            <w:color w:val="176EA4"/>
          </w:rPr>
          <w:t>Online chapter</w:t>
        </w:r>
      </w:hyperlink>
      <w:r>
        <w:t xml:space="preserve"> </w:t>
      </w:r>
    </w:p>
    <w:p>
      <w:r>
        <w:t>Shear characterization. Finite plate. Models: Classical laminate theory, ASTM D3518-based.</w:t>
      </w:r>
    </w:p>
    <w:p>
      <w:hyperlink r:id="rId214">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66" name="Picture 66" descr="CDS workflow or model illustration"/>
            <wp:cNvGraphicFramePr>
              <a:graphicFrameLocks noChangeAspect="1"/>
            </wp:cNvGraphicFramePr>
            <a:graphic>
              <a:graphicData uri="http://schemas.openxmlformats.org/drawingml/2006/picture">
                <pic:pic>
                  <pic:nvPicPr>
                    <pic:cNvPr id="0" name="rsvg-c17b1ab1046c68ab90311f705cf67a6ecc4ef5e2390f3486b103c4f26c96bc71.png"/>
                    <pic:cNvPicPr/>
                  </pic:nvPicPr>
                  <pic:blipFill>
                    <a:blip r:embed="rId215"/>
                    <a:stretch>
                      <a:fillRect/>
                    </a:stretch>
                  </pic:blipFill>
                  <pic:spPr>
                    <a:xfrm>
                      <a:off x="0" y="0"/>
                      <a:ext cx="6217920" cy="3067645"/>
                    </a:xfrm>
                    <a:prstGeom prst="rect"/>
                  </pic:spPr>
                </pic:pic>
              </a:graphicData>
            </a:graphic>
          </wp:inline>
        </w:drawing>
      </w:r>
    </w:p>
    <w:p>
      <w:pPr>
        <w:pStyle w:val="Heading2"/>
      </w:pPr>
      <w:r>
        <w:t>Tasks</w:t>
      </w:r>
    </w:p>
    <w:p>
      <w:r>
        <w:t>Inspect the balanced ±45° laminate and its axial tensile load.</w:t>
      </w:r>
    </w:p>
    <w:p>
      <w:r>
        <w:t>Run and inspect material-axis shear stresses and global strains.</w:t>
      </w:r>
    </w:p>
    <w:p>
      <w:r>
        <w:t>Compare nominal shear stress P/(2bt) with the applicable output and explain the coordinate transformation.</w:t>
      </w:r>
    </w:p>
    <w:p>
      <w:pPr>
        <w:pStyle w:val="Heading2"/>
      </w:pPr>
      <w:r>
        <w:t>Checkpoints</w:t>
      </w:r>
    </w:p>
    <w:p>
      <w:r>
        <w:t>The applied load is axial tension, not a directly applied global shear force.</w:t>
      </w:r>
    </w:p>
    <w:p>
      <w:r>
        <w:t>Keep the distinction between global strains and material-axis shear strain.</w:t>
      </w:r>
    </w:p>
    <w:p>
      <w:pPr>
        <w:pStyle w:val="Heading2"/>
      </w:pPr>
      <w:r>
        <w:t>Model limits</w:t>
      </w:r>
    </w:p>
    <w:p>
      <w:r>
        <w:t>Small-strain elastic teaching model; fibre rotation and nonlinear termination rules are not represented.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Small-strain elastic teaching model; fibre rotation and nonlinear termination rules are not represented.</w:t>
      </w:r>
    </w:p>
    <w:p>
      <w:hyperlink r:id="rId216">
        <w:r>
          <w:rPr>
            <w:color w:val="176EA4"/>
          </w:rPr>
          <w:t>Validation evidence and tested inputs</w:t>
        </w:r>
      </w:hyperlink>
      <w:r>
        <w:t xml:space="preserve"> </w:t>
      </w:r>
    </w:p>
    <w:p>
      <w:pPr>
        <w:pStyle w:val="Heading2"/>
      </w:pPr>
      <w:r>
        <w:t>Connected models and submodels</w:t>
      </w:r>
    </w:p>
    <w:p>
      <w:r>
        <w:t>CLT · Linear static.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28">
        <w:r>
          <w:rPr>
            <w:color w:val="176EA4"/>
          </w:rPr>
          <w:t>Edit laminate materials, angles and thicknesses</w:t>
        </w:r>
      </w:hyperlink>
      <w:r>
        <w:t xml:space="preserve"> </w:t>
      </w:r>
    </w:p>
    <w:p>
      <w:hyperlink r:id="rId137">
        <w:r>
          <w:rPr>
            <w:color w:val="176EA4"/>
          </w:rPr>
          <w:t>Geometry, loading and virtual tests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pPr>
        <w:keepNext/>
      </w:pPr>
      <w:hyperlink r:id="rId196">
        <w:r>
          <w:rPr>
            <w:color w:val="176EA4"/>
          </w:rPr>
          <w:t>Related case study: NASA laminate design</w:t>
        </w:r>
      </w:hyperlink>
      <w:r>
        <w:t xml:space="preserve"> </w:t>
      </w:r>
    </w:p>
    <w:p>
      <w:r>
        <w:t>Record the inputs, units, solver notices and checkpoint results before drawing a conclusion. When exploring a variation, change one factor at a time and compare it with the original case.</w:t>
      </w:r>
    </w:p>
    <w:p>
      <w:bookmarkStart w:id="42" w:name="chapter_42"/>
      <w:pPr>
        <w:pStyle w:val="Heading1"/>
        <w:pageBreakBefore/>
      </w:pPr>
      <w:r>
        <w:t>Sandwich FSDT directional-core natural frequencies</w:t>
      </w:r>
      <w:bookmarkEnd w:id="42"/>
    </w:p>
    <w:p>
      <w:pPr>
        <w:pStyle w:val="Caption"/>
      </w:pPr>
      <w:hyperlink r:id="rId35">
        <w:r>
          <w:rPr>
            <w:color w:val="176EA4"/>
          </w:rPr>
          <w:t>Online chapter</w:t>
        </w:r>
      </w:hyperlink>
      <w:r>
        <w:t xml:space="preserve"> </w:t>
      </w:r>
    </w:p>
    <w:p>
      <w:r>
        <w:t>Sandwich panel vibration. Finite rectangular plate. Models: FSDT, Classical laminate theory, Transverse shear, Rotary inertia.</w:t>
      </w:r>
    </w:p>
    <w:p>
      <w:hyperlink r:id="rId217">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67" name="Picture 67" descr="CDS workflow or model illustration"/>
            <wp:cNvGraphicFramePr>
              <a:graphicFrameLocks noChangeAspect="1"/>
            </wp:cNvGraphicFramePr>
            <a:graphic>
              <a:graphicData uri="http://schemas.openxmlformats.org/drawingml/2006/picture">
                <pic:pic>
                  <pic:nvPicPr>
                    <pic:cNvPr id="0" name="rsvg-cef5f70ebee6a17f40dd31eff83de01f6dd339a04a984502a96bdb48c21067ac.png"/>
                    <pic:cNvPicPr/>
                  </pic:nvPicPr>
                  <pic:blipFill>
                    <a:blip r:embed="rId218"/>
                    <a:stretch>
                      <a:fillRect/>
                    </a:stretch>
                  </pic:blipFill>
                  <pic:spPr>
                    <a:xfrm>
                      <a:off x="0" y="0"/>
                      <a:ext cx="6217920" cy="3067645"/>
                    </a:xfrm>
                    <a:prstGeom prst="rect"/>
                  </pic:spPr>
                </pic:pic>
              </a:graphicData>
            </a:graphic>
          </wp:inline>
        </w:drawing>
      </w:r>
    </w:p>
    <w:p>
      <w:pPr>
        <w:pStyle w:val="Heading2"/>
      </w:pPr>
      <w:r>
        <w:t>Tasks</w:t>
      </w:r>
    </w:p>
    <w:p>
      <w:r>
        <w:t>Open Simulation: check the shared skins/core, 1 / 18 / 1 mm stack, 300 × 200 mm Geometry, and paired Loading. Architecture must be Sandwich Structures; Automatic resolves to FSDT with Energy equivalent shear correction.</w:t>
      </w:r>
    </w:p>
    <w:p>
      <w:r>
        <w:t>Run unprestressed modes with rotary inertia and compare the first three frequencies. Exchange core G13 and G23 and rerun to explore directional shear flexibility; compare shapes as well as sorted frequency order.</w:t>
      </w:r>
    </w:p>
    <w:p>
      <w:r>
        <w:t>Increase Ritz order from 6 to 8; compare the quantity of interest before interpreting the result.</w:t>
      </w:r>
    </w:p>
    <w:p>
      <w:r>
        <w:t>Select explicit CLT as a comparison, keeping all other inputs unchanged. Explain the difference due to transverse shear flexibility and rotary inertia.</w:t>
      </w:r>
    </w:p>
    <w:p>
      <w:pPr>
        <w:pStyle w:val="Heading2"/>
      </w:pPr>
      <w:r>
        <w:t>Checkpoints</w:t>
      </w:r>
    </w:p>
    <w:p>
      <w:r>
        <w:t>Geometry owns length and width; Laminate owns skin/core thicknesses.</w:t>
      </w:r>
    </w:p>
    <w:p>
      <w:r>
        <w:t>Static pressure and membrane loads are never combined in these examples. Modal loads are all zero.</w:t>
      </w:r>
    </w:p>
    <w:p>
      <w:r>
        <w:t>Mode amplitudes are normalized, not physical vibration displacements. Density is explicit in skins and core.</w:t>
      </w:r>
    </w:p>
    <w:p>
      <w:r>
        <w:t>Completion does not assess wrinkling, core crushing, debonding or delamination.</w:t>
      </w:r>
    </w:p>
    <w:p>
      <w:pPr>
        <w:pStyle w:val="Heading2"/>
      </w:pPr>
      <w:r>
        <w:t>Model limits</w:t>
      </w:r>
    </w:p>
    <w:p>
      <w: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pStyle w:val="Heading2"/>
      </w:pPr>
      <w:r>
        <w:t>Recorded validation</w:t>
      </w:r>
    </w:p>
    <w:p>
      <w:r>
        <w:t>2026-09-18 — Not benchmark validated: No matched quantitative reference comparison completed for the full exercise.</w:t>
      </w:r>
    </w:p>
    <w:p>
      <w: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hyperlink r:id="rId219">
        <w:r>
          <w:rPr>
            <w:color w:val="176EA4"/>
          </w:rPr>
          <w:t>Validation evidence and tested inputs</w:t>
        </w:r>
      </w:hyperlink>
      <w:r>
        <w:t xml:space="preserve"> </w:t>
      </w:r>
    </w:p>
    <w:p>
      <w:pPr>
        <w:pStyle w:val="Heading2"/>
      </w:pPr>
      <w:r>
        <w:t>Connected models and submodels</w:t>
      </w:r>
    </w:p>
    <w:p>
      <w:r>
        <w:t>Automatic · Finite plate. Automatic selects FSDT for sandwich architecture and CLT otherwise. Static bending requires FSDT. Finite-plate studies do not consume process links or run progressive failure/fatigue.</w:t>
      </w:r>
    </w:p>
    <w:p>
      <w:hyperlink r:id="rId135">
        <w:r>
          <w:rPr>
            <w:color w:val="176EA4"/>
          </w:rPr>
          <w:t>Theory and assumptions</w:t>
        </w:r>
      </w:hyperlink>
      <w:r>
        <w:t xml:space="preserve"> </w:t>
      </w:r>
    </w:p>
    <w:p>
      <w:r>
        <w:t>Study · Modal. Reference-elastic plate study; progressive failure and fatigue are not evaluated here.</w:t>
      </w:r>
    </w:p>
    <w:p>
      <w:r>
        <w:t>Numerical settings. Ritz order: 6. Shear correction (FSDT only): Energy equivalent. Increase resolution to check convergence.</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36">
        <w:r>
          <w:rPr>
            <w:color w:val="176EA4"/>
          </w:rPr>
          <w:t>FSDT: shared laminate stiffness, shear and plate response</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43" w:name="chapter_43"/>
      <w:pPr>
        <w:pStyle w:val="Heading1"/>
        <w:pageBreakBefore/>
      </w:pPr>
      <w:r>
        <w:t>07 Stored lamina material bypass Micro</w:t>
      </w:r>
      <w:bookmarkEnd w:id="43"/>
    </w:p>
    <w:p>
      <w:pPr>
        <w:pStyle w:val="Caption"/>
      </w:pPr>
      <w:hyperlink r:id="rId35">
        <w:r>
          <w:rPr>
            <w:color w:val="176EA4"/>
          </w:rPr>
          <w:t>Online chapter</w:t>
        </w:r>
      </w:hyperlink>
      <w:r>
        <w:t xml:space="preserve"> </w:t>
      </w:r>
    </w:p>
    <w:p>
      <w:r>
        <w:t>Stored-material laminate. Infinite plate. Models: Stored lamina elasticity, Classical laminate theory.</w:t>
      </w:r>
    </w:p>
    <w:p>
      <w:hyperlink r:id="rId220">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68" name="Picture 68" descr="CDS workflow or model illustration"/>
            <wp:cNvGraphicFramePr>
              <a:graphicFrameLocks noChangeAspect="1"/>
            </wp:cNvGraphicFramePr>
            <a:graphic>
              <a:graphicData uri="http://schemas.openxmlformats.org/drawingml/2006/picture">
                <pic:pic>
                  <pic:nvPicPr>
                    <pic:cNvPr id="0" name="rsvg-9972a5b7d6d72da01bae86e2ea5b374bfe34e660a4336ae9853915be97c29a9f.png"/>
                    <pic:cNvPicPr/>
                  </pic:nvPicPr>
                  <pic:blipFill>
                    <a:blip r:embed="rId221"/>
                    <a:stretch>
                      <a:fillRect/>
                    </a:stretch>
                  </pic:blipFill>
                  <pic:spPr>
                    <a:xfrm>
                      <a:off x="0" y="0"/>
                      <a:ext cx="6217920" cy="3067645"/>
                    </a:xfrm>
                    <a:prstGeom prst="rect"/>
                  </pic:spPr>
                </pic:pic>
              </a:graphicData>
            </a:graphic>
          </wp:inline>
        </w:drawing>
      </w:r>
    </w:p>
    <w:p>
      <w:pPr>
        <w:pStyle w:val="Heading2"/>
      </w:pPr>
      <w:r>
        <w:t>Tasks</w:t>
      </w:r>
    </w:p>
    <w:p>
      <w:r>
        <w:t>Trace the material directly to the laminate; Micro is not used.</w:t>
      </w:r>
    </w:p>
    <w:p>
      <w:r>
        <w:t>Run the stored-material laminate, then compare with example 01.</w:t>
      </w:r>
    </w:p>
    <w:p>
      <w:pPr>
        <w:pStyle w:val="Heading2"/>
      </w:pPr>
      <w:r>
        <w:t>Checkpoints</w:t>
      </w:r>
    </w:p>
    <w:p>
      <w:r>
        <w:t>The material-to-laminate path bypasses Micro.</w:t>
      </w:r>
    </w:p>
    <w:p>
      <w:r>
        <w:t>Changing a stored modulus changes the next Run, not another example.</w:t>
      </w:r>
    </w:p>
    <w:p>
      <w:pPr>
        <w:pStyle w:val="Heading2"/>
      </w:pPr>
      <w:r>
        <w:t>Model limits</w:t>
      </w:r>
    </w:p>
    <w:p>
      <w:r>
        <w:t>Stored representative lamina properties, not a solved Micro recipe or qualified design allowables.</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representative lamina properties, not a solved Micro recipe or qualified design allowables.</w:t>
      </w:r>
    </w:p>
    <w:p>
      <w:hyperlink r:id="rId222">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2">
        <w:r>
          <w:rPr>
            <w:color w:val="176EA4"/>
          </w:rPr>
          <w:t>Connected inputs and result freshness</w:t>
        </w:r>
      </w:hyperlink>
      <w:r>
        <w:t xml:space="preserve"> </w:t>
      </w:r>
    </w:p>
    <w:p>
      <w:pPr>
        <w:keepNext/>
      </w:pPr>
      <w:hyperlink r:id="rId196">
        <w:r>
          <w:rPr>
            <w:color w:val="176EA4"/>
          </w:rPr>
          <w:t>Related case study: NASA laminate design</w:t>
        </w:r>
      </w:hyperlink>
      <w:r>
        <w:t xml:space="preserve"> </w:t>
      </w:r>
    </w:p>
    <w:p>
      <w:r>
        <w:t>Record the inputs, units, solver notices and checkpoint results before drawing a conclusion. When exploring a variation, change one factor at a time and compare it with the original case.</w:t>
      </w:r>
    </w:p>
    <w:p>
      <w:bookmarkStart w:id="44" w:name="chapter_44"/>
      <w:pPr>
        <w:pStyle w:val="Heading1"/>
        <w:pageBreakBefore/>
      </w:pPr>
      <w:r>
        <w:t>08 Mixed stored/solved plies unequal thickness</w:t>
      </w:r>
      <w:bookmarkEnd w:id="44"/>
    </w:p>
    <w:p>
      <w:pPr>
        <w:pStyle w:val="Caption"/>
      </w:pPr>
      <w:hyperlink r:id="rId35">
        <w:r>
          <w:rPr>
            <w:color w:val="176EA4"/>
          </w:rPr>
          <w:t>Online chapter</w:t>
        </w:r>
      </w:hyperlink>
      <w:r>
        <w:t xml:space="preserve"> </w:t>
      </w:r>
    </w:p>
    <w:p>
      <w:r>
        <w:t>Mixed-source laminate. Infinite plate. Models: Stored lamina elasticity, Rule of mixtures, Classical laminate theory, Unequal ply thickness.</w:t>
      </w:r>
    </w:p>
    <w:p>
      <w:hyperlink r:id="rId224">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69" name="Picture 69" descr="CDS workflow or model illustration"/>
            <wp:cNvGraphicFramePr>
              <a:graphicFrameLocks noChangeAspect="1"/>
            </wp:cNvGraphicFramePr>
            <a:graphic>
              <a:graphicData uri="http://schemas.openxmlformats.org/drawingml/2006/picture">
                <pic:pic>
                  <pic:nvPicPr>
                    <pic:cNvPr id="0" name="rsvg-d335c5d14189e75e6cb85b958e840be0f64cb883dede9c9953b98d173a1c5d5a.png"/>
                    <pic:cNvPicPr/>
                  </pic:nvPicPr>
                  <pic:blipFill>
                    <a:blip r:embed="rId225"/>
                    <a:stretch>
                      <a:fillRect/>
                    </a:stretch>
                  </pic:blipFill>
                  <pic:spPr>
                    <a:xfrm>
                      <a:off x="0" y="0"/>
                      <a:ext cx="6217920" cy="3067645"/>
                    </a:xfrm>
                    <a:prstGeom prst="rect"/>
                  </pic:spPr>
                </pic:pic>
              </a:graphicData>
            </a:graphic>
          </wp:inline>
        </w:drawing>
      </w:r>
    </w:p>
    <w:p>
      <w:pPr>
        <w:pStyle w:val="Heading2"/>
      </w:pPr>
      <w:r>
        <w:t>Tasks</w:t>
      </w:r>
    </w:p>
    <w:p>
      <w:r>
        <w:t>Inspect alternating stored-material and solved-Micro plies and their 0.15/0.10 mm thicknesses.</w:t>
      </w:r>
    </w:p>
    <w:p>
      <w:r>
        <w:t>Run and compare with the uniform stored and solved examples.</w:t>
      </w:r>
    </w:p>
    <w:p>
      <w:pPr>
        <w:pStyle w:val="Heading2"/>
      </w:pPr>
      <w:r>
        <w:t>Checkpoints</w:t>
      </w:r>
    </w:p>
    <w:p>
      <w:r>
        <w:t>The sixteen plies total 2 mm.</w:t>
      </w:r>
    </w:p>
    <w:p>
      <w:r>
        <w:t>Both direct material and solved Micro paths feed the laminate.</w:t>
      </w:r>
    </w:p>
    <w:p>
      <w:pPr>
        <w:pStyle w:val="Heading2"/>
      </w:pPr>
      <w:r>
        <w:t>Model limits</w:t>
      </w:r>
    </w:p>
    <w:p>
      <w:r>
        <w:t>Reference-state elastic laminate comparison; different ply sources and thicknesses are intentional. Representative properties are not qualified allowables.</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Reference-state elastic laminate comparison; different ply sources and thicknesses are intentional. Representative properties are not qualified allowables.</w:t>
      </w:r>
    </w:p>
    <w:p>
      <w:hyperlink r:id="rId226">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Rule of mixtures. One compatible homogenization model per Micro recipe. Separate recipes compare models; their predictions are not blended.</w:t>
      </w:r>
    </w:p>
    <w:p>
      <w:hyperlink r:id="rId19">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Laminates: Stored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2">
        <w:r>
          <w:rPr>
            <w:color w:val="176EA4"/>
          </w:rPr>
          <w:t>Connected inputs and result freshness</w:t>
        </w:r>
      </w:hyperlink>
      <w:r>
        <w:t xml:space="preserve"> </w:t>
      </w:r>
    </w:p>
    <w:p>
      <w:pPr>
        <w:keepNext/>
      </w:pPr>
      <w:hyperlink r:id="rId196">
        <w:r>
          <w:rPr>
            <w:color w:val="176EA4"/>
          </w:rPr>
          <w:t>Related case study: NASA laminate design</w:t>
        </w:r>
      </w:hyperlink>
      <w:r>
        <w:t xml:space="preserve"> </w:t>
      </w:r>
    </w:p>
    <w:p>
      <w:r>
        <w:t>Record the inputs, units, solver notices and checkpoint results before drawing a conclusion. When exploring a variation, change one factor at a time and compare it with the original case.</w:t>
      </w:r>
    </w:p>
    <w:p>
      <w:bookmarkStart w:id="45" w:name="chapter_45"/>
      <w:pPr>
        <w:pStyle w:val="Heading1"/>
        <w:pageBreakBefore/>
      </w:pPr>
      <w:r>
        <w:t>09 Three-point bend deflection</w:t>
      </w:r>
      <w:bookmarkEnd w:id="45"/>
    </w:p>
    <w:p>
      <w:pPr>
        <w:pStyle w:val="Caption"/>
      </w:pPr>
      <w:hyperlink r:id="rId35">
        <w:r>
          <w:rPr>
            <w:color w:val="176EA4"/>
          </w:rPr>
          <w:t>Online chapter</w:t>
        </w:r>
      </w:hyperlink>
      <w:r>
        <w:t xml:space="preserve"> </w:t>
      </w:r>
    </w:p>
    <w:p>
      <w:r>
        <w:t>Flexural coupon. Plate in three-point bend. Models: Euler–Bernoulli beam, ASTM D7264-based.</w:t>
      </w:r>
    </w:p>
    <w:p>
      <w:hyperlink r:id="rId227">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70" name="Picture 70" descr="CDS workflow or model illustration"/>
            <wp:cNvGraphicFramePr>
              <a:graphicFrameLocks noChangeAspect="1"/>
            </wp:cNvGraphicFramePr>
            <a:graphic>
              <a:graphicData uri="http://schemas.openxmlformats.org/drawingml/2006/picture">
                <pic:pic>
                  <pic:nvPicPr>
                    <pic:cNvPr id="0" name="rsvg-8b53a679efb4bc42c766a96a1f1c063f4f51cbfceee3c0235cf07ae84d00a0c5.png"/>
                    <pic:cNvPicPr/>
                  </pic:nvPicPr>
                  <pic:blipFill>
                    <a:blip r:embed="rId228"/>
                    <a:stretch>
                      <a:fillRect/>
                    </a:stretch>
                  </pic:blipFill>
                  <pic:spPr>
                    <a:xfrm>
                      <a:off x="0" y="0"/>
                      <a:ext cx="6217920" cy="3067645"/>
                    </a:xfrm>
                    <a:prstGeom prst="rect"/>
                  </pic:spPr>
                </pic:pic>
              </a:graphicData>
            </a:graphic>
          </wp:inline>
        </w:drawing>
      </w:r>
    </w:p>
    <w:p>
      <w:pPr>
        <w:pStyle w:val="Heading2"/>
      </w:pPr>
      <w:r>
        <w:t>Tasks</w:t>
      </w:r>
    </w:p>
    <w:p>
      <w:r>
        <w:t>Inspect specimen width, laminate thickness, support span and central force.</w:t>
      </w:r>
    </w:p>
    <w:p>
      <w:r>
        <w:t>Run and inspect the deflection plot and ply stresses.</w:t>
      </w:r>
    </w:p>
    <w:p>
      <w:r>
        <w:t>Change support span by 20% while maintaining sufficient specimen length, rerun, and compare peak deflection.</w:t>
      </w:r>
    </w:p>
    <w:p>
      <w:pPr>
        <w:pStyle w:val="Heading2"/>
      </w:pPr>
      <w:r>
        <w:t>Checkpoints</w:t>
      </w:r>
    </w:p>
    <w:p>
      <w:r>
        <w:t>Check the support and loading graphic against the setup.</w:t>
      </w:r>
    </w:p>
    <w:p>
      <w:r>
        <w:t>For unchanged effective EI and load, beam deflection scales with span cubed.</w:t>
      </w:r>
    </w:p>
    <w:p>
      <w:pPr>
        <w:pStyle w:val="Heading2"/>
      </w:pPr>
      <w:r>
        <w:t>Model limits</w:t>
      </w:r>
    </w:p>
    <w:p>
      <w:r>
        <w:t>Procedure A teaching setup. Transverse shear deformation, roller contact and indentation are excluded.</w:t>
      </w:r>
    </w:p>
    <w:p>
      <w:pPr>
        <w:pStyle w:val="Heading2"/>
      </w:pPr>
      <w:r>
        <w:t>Recorded validation</w:t>
      </w:r>
    </w:p>
    <w:p>
      <w:r>
        <w:t>2026-09-18 — Benchmark validated — analytical scope: Central-load beam deflection and shear, conditional on the reported effective Ex. Material elasticity, ply stress and failure not validated.</w:t>
      </w:r>
    </w:p>
    <w:p>
      <w:r>
        <w:t>Procedure A teaching setup. Transverse shear deformation, roller contact and indentation are excluded.</w:t>
      </w:r>
    </w:p>
    <w:p>
      <w:hyperlink r:id="rId229">
        <w:r>
          <w:rPr>
            <w:color w:val="176EA4"/>
          </w:rPr>
          <w:t>Validation evidence and tested inputs</w:t>
        </w:r>
      </w:hyperlink>
      <w:r>
        <w:t xml:space="preserve"> </w:t>
      </w:r>
    </w:p>
    <w:p>
      <w:pPr>
        <w:pStyle w:val="Heading2"/>
      </w:pPr>
      <w:r>
        <w:t>Connected models and submodels</w:t>
      </w:r>
    </w:p>
    <w:p>
      <w:r>
        <w:t>Euler–Bernoulli beam · Linear static. Beam bending uses effective laminate axial stiffness, the linked section geometry, support span and applied loading. Euler–Bernoulli deflection excludes transverse shear deformation, roller contact and indentation. Ply stress recovery for rectangular laminate coupons is separate from section-level beam stress recovery.</w:t>
      </w:r>
    </w:p>
    <w:p>
      <w:hyperlink r:id="rId203">
        <w:r>
          <w:rPr>
            <w:color w:val="176EA4"/>
          </w:rPr>
          <w:t>Theory and assumptions</w:t>
        </w:r>
      </w:hyperlink>
      <w:r>
        <w:t xml:space="preserve"> </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37">
        <w:r>
          <w:rPr>
            <w:color w:val="176EA4"/>
          </w:rPr>
          <w:t>Geometry, loading and virtual tests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46" w:name="chapter_46"/>
      <w:pPr>
        <w:pStyle w:val="Heading1"/>
        <w:pageBreakBefore/>
      </w:pPr>
      <w:r>
        <w:t>10 Cylinder internal pressure</w:t>
      </w:r>
      <w:bookmarkEnd w:id="46"/>
    </w:p>
    <w:p>
      <w:pPr>
        <w:pStyle w:val="Caption"/>
      </w:pPr>
      <w:hyperlink r:id="rId35">
        <w:r>
          <w:rPr>
            <w:color w:val="176EA4"/>
          </w:rPr>
          <w:t>Online chapter</w:t>
        </w:r>
      </w:hyperlink>
      <w:r>
        <w:t xml:space="preserve"> </w:t>
      </w:r>
    </w:p>
    <w:p>
      <w:r>
        <w:t>Pressure vessel. Circular tube. Models: Thin-wall membrane, Classical laminate theory.</w:t>
      </w:r>
    </w:p>
    <w:p>
      <w:hyperlink r:id="rId230">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71" name="Picture 71" descr="CDS workflow or model illustration"/>
            <wp:cNvGraphicFramePr>
              <a:graphicFrameLocks noChangeAspect="1"/>
            </wp:cNvGraphicFramePr>
            <a:graphic>
              <a:graphicData uri="http://schemas.openxmlformats.org/drawingml/2006/picture">
                <pic:pic>
                  <pic:nvPicPr>
                    <pic:cNvPr id="0" name="rsvg-2062e975295bd11a95a192191f678f7f6d506f9751f532fcc2d4105f775c8da2.png"/>
                    <pic:cNvPicPr/>
                  </pic:nvPicPr>
                  <pic:blipFill>
                    <a:blip r:embed="rId231"/>
                    <a:stretch>
                      <a:fillRect/>
                    </a:stretch>
                  </pic:blipFill>
                  <pic:spPr>
                    <a:xfrm>
                      <a:off x="0" y="0"/>
                      <a:ext cx="6217920" cy="3067645"/>
                    </a:xfrm>
                    <a:prstGeom prst="rect"/>
                  </pic:spPr>
                </pic:pic>
              </a:graphicData>
            </a:graphic>
          </wp:inline>
        </w:drawing>
      </w:r>
    </w:p>
    <w:p>
      <w:pPr>
        <w:pStyle w:val="Heading2"/>
      </w:pPr>
      <w:r>
        <w:t>Tasks</w:t>
      </w:r>
    </w:p>
    <w:p>
      <w:r>
        <w:t>Inspect the tube dimensions in Geometry and pressure/end conditions in CASES.</w:t>
      </w:r>
    </w:p>
    <w:p>
      <w:r>
        <w:t>Run the closed-end vessel; compare hoop and axial membrane resultants.</w:t>
      </w:r>
    </w:p>
    <w:p>
      <w:r>
        <w:t>Vary the hoop/axial ply balance and rerun without changing the geometry or pressure.</w:t>
      </w:r>
    </w:p>
    <w:p>
      <w:pPr>
        <w:pStyle w:val="Heading2"/>
      </w:pPr>
      <w:r>
        <w:t>Checkpoints</w:t>
      </w:r>
    </w:p>
    <w:p>
      <w:r>
        <w:t>For zero external pressure, closed ends and no additional axial load, hoop resultant is twice the pressure-induced axial resultant.</w:t>
      </w:r>
    </w:p>
    <w:p>
      <w:r>
        <w:t>Verify the wall is sufficiently thin for the selected theory.</w:t>
      </w:r>
    </w:p>
    <w:p>
      <w:pPr>
        <w:pStyle w:val="Heading2"/>
      </w:pPr>
      <w:r>
        <w:t>Model limits</w:t>
      </w:r>
    </w:p>
    <w:p>
      <w:r>
        <w:t>Thin-wall membrane theory: no through-wall radial stress profile or local end effects.</w:t>
      </w:r>
    </w:p>
    <w:p>
      <w:pPr>
        <w:pStyle w:val="Heading2"/>
      </w:pPr>
      <w:r>
        <w:t>Recorded validation</w:t>
      </w:r>
    </w:p>
    <w:p>
      <w:r>
        <w:t>2026-09-18 — Benchmark validated — analytical scope: Thin-wall pressure equilibrium and orthotropic biaxial strain comparison; stiffness inputs are conditional where Micro closure has not been verified.</w:t>
      </w:r>
    </w:p>
    <w:p>
      <w:r>
        <w:t>Thin-wall membrane theory: no through-wall radial stress profile or local end effects.</w:t>
      </w:r>
    </w:p>
    <w:p>
      <w:hyperlink r:id="rId232">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CLT · Linear thin-wall membrane. Shared laminate stiffness drives this membrane/CLT path. Failure criteria are independent comparisons, not blended models. Fatigue is a separate assessment.</w:t>
      </w:r>
    </w:p>
    <w:p>
      <w:hyperlink r:id="rId39">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37">
        <w:r>
          <w:rPr>
            <w:color w:val="176EA4"/>
          </w:rPr>
          <w:t>Geometry, loading and virtual tests</w:t>
        </w:r>
      </w:hyperlink>
      <w:r>
        <w:t xml:space="preserve"> </w:t>
      </w:r>
    </w:p>
    <w:p>
      <w:hyperlink r:id="rId207">
        <w:r>
          <w:rPr>
            <w:color w:val="176EA4"/>
          </w:rPr>
          <w:t>Related case study: NASA pressure cylinder</w:t>
        </w:r>
      </w:hyperlink>
      <w:r>
        <w:t xml:space="preserve"> </w:t>
      </w:r>
    </w:p>
    <w:p>
      <w:hyperlink r:id="rId33">
        <w:r>
          <w:rPr>
            <w:color w:val="176EA4"/>
          </w:rPr>
          <w:t>Run and review a model</w:t>
        </w:r>
      </w:hyperlink>
      <w:r>
        <w:t xml:space="preserve"> </w:t>
      </w:r>
    </w:p>
    <w:p>
      <w:hyperlink r:id="rId128">
        <w:r>
          <w:rPr>
            <w:color w:val="176EA4"/>
          </w:rPr>
          <w:t>Edit laminate materials, angles and thicknesses</w:t>
        </w:r>
      </w:hyperlink>
      <w:r>
        <w:t xml:space="preserve"> </w:t>
      </w:r>
    </w:p>
    <w:p>
      <w:pPr>
        <w:keepNext/>
      </w:pPr>
      <w:hyperlink r:id="rId195">
        <w:r>
          <w:rPr>
            <w:color w:val="176EA4"/>
          </w:rPr>
          <w:t>Apply symmetry and balance</w:t>
        </w:r>
      </w:hyperlink>
      <w:r>
        <w:t xml:space="preserve"> </w:t>
      </w:r>
    </w:p>
    <w:p>
      <w:r>
        <w:t>Record the inputs, units, solver notices and checkpoint results before drawing a conclusion. When exploring a variation, change one factor at a time and compare it with the original case.</w:t>
      </w:r>
    </w:p>
    <w:p>
      <w:bookmarkStart w:id="47" w:name="chapter_47"/>
      <w:pPr>
        <w:pStyle w:val="Heading1"/>
        <w:pageBreakBefore/>
      </w:pPr>
      <w:r>
        <w:t>11 Lap joint two adherends and adhesive</w:t>
      </w:r>
      <w:bookmarkEnd w:id="47"/>
    </w:p>
    <w:p>
      <w:pPr>
        <w:pStyle w:val="Caption"/>
      </w:pPr>
      <w:hyperlink r:id="rId35">
        <w:r>
          <w:rPr>
            <w:color w:val="176EA4"/>
          </w:rPr>
          <w:t>Online chapter</w:t>
        </w:r>
      </w:hyperlink>
      <w:r>
        <w:t xml:space="preserve"> </w:t>
      </w:r>
    </w:p>
    <w:p>
      <w:r>
        <w:t>Adhesive lap joint. Single-lap joint. Models: 2D x-z plane strain, Linear elasticity.</w:t>
      </w:r>
    </w:p>
    <w:p>
      <w:hyperlink r:id="rId233">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72" name="Picture 72" descr="CDS workflow or model illustration"/>
            <wp:cNvGraphicFramePr>
              <a:graphicFrameLocks noChangeAspect="1"/>
            </wp:cNvGraphicFramePr>
            <a:graphic>
              <a:graphicData uri="http://schemas.openxmlformats.org/drawingml/2006/picture">
                <pic:pic>
                  <pic:nvPicPr>
                    <pic:cNvPr id="0" name="rsvg-f4f6ffc1716ef00d5ccef7bbb1215a69e8a059021c70c420be73777de13958b4.png"/>
                    <pic:cNvPicPr/>
                  </pic:nvPicPr>
                  <pic:blipFill>
                    <a:blip r:embed="rId234"/>
                    <a:stretch>
                      <a:fillRect/>
                    </a:stretch>
                  </pic:blipFill>
                  <pic:spPr>
                    <a:xfrm>
                      <a:off x="0" y="0"/>
                      <a:ext cx="6217920" cy="3067645"/>
                    </a:xfrm>
                    <a:prstGeom prst="rect"/>
                  </pic:spPr>
                </pic:pic>
              </a:graphicData>
            </a:graphic>
          </wp:inline>
        </w:drawing>
      </w:r>
    </w:p>
    <w:p>
      <w:pPr>
        <w:pStyle w:val="Heading2"/>
      </w:pPr>
      <w:r>
        <w:t>Tasks</w:t>
      </w:r>
    </w:p>
    <w:p>
      <w:r>
        <w:t>Trace lower laminate, upper laminate and adhesive selections from Simulation to Geometry.</w:t>
      </w:r>
    </w:p>
    <w:p>
      <w:r>
        <w:t>Run and inspect the adherend and adhesive stress/strain fields.</w:t>
      </w:r>
    </w:p>
    <w:p>
      <w:r>
        <w:t>Vary overlap or bondline thickness, then refine the available mesh controls to assess peak-stress sensitivity.</w:t>
      </w:r>
    </w:p>
    <w:p>
      <w:pPr>
        <w:pStyle w:val="Heading2"/>
      </w:pPr>
      <w:r>
        <w:t>Checkpoints</w:t>
      </w:r>
    </w:p>
    <w:p>
      <w:r>
        <w:t>Check adhesive stiffness inputs and their material assumptions.</w:t>
      </w:r>
    </w:p>
    <w:p>
      <w:r>
        <w:t>Compare field shape and displacement as well as a single peak value.</w:t>
      </w:r>
    </w:p>
    <w:p>
      <w:pPr>
        <w:pStyle w:val="Heading2"/>
      </w:pPr>
      <w:r>
        <w:t>Model limits</w:t>
      </w:r>
    </w:p>
    <w:p>
      <w:r>
        <w:t>Perfectly bonded linear-elastic interfaces. Mesh-sensitive edge peaks are not joint strength, debonding or damage predictions.</w:t>
      </w:r>
    </w:p>
    <w:p>
      <w:pPr>
        <w:pStyle w:val="Heading2"/>
      </w:pPr>
      <w:r>
        <w:t>Recorded validation</w:t>
      </w:r>
    </w:p>
    <w:p>
      <w:r>
        <w:t>2026-09-18 — Not benchmark validated: No matched quantitative reference comparison completed for the full exercise.</w:t>
      </w:r>
    </w:p>
    <w:p>
      <w:r>
        <w:t>Perfectly bonded linear-elastic interfaces. Mesh-sensitive edge peaks are not joint strength, debonding or damage predictions.</w:t>
      </w:r>
    </w:p>
    <w:p>
      <w:hyperlink r:id="rId235">
        <w:r>
          <w:rPr>
            <w:color w:val="176EA4"/>
          </w:rPr>
          <w:t>Validation evidence and tested inputs</w:t>
        </w:r>
      </w:hyperlink>
      <w:r>
        <w:t xml:space="preserve"> </w:t>
      </w:r>
    </w:p>
    <w:p>
      <w:pPr>
        <w:pStyle w:val="Heading2"/>
      </w:pPr>
      <w:r>
        <w:t>Connected models and submodels</w:t>
      </w:r>
    </w:p>
    <w:p>
      <w:r>
        <w:t>FM73 published cure kinetics (reference only).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Reference located; coefficients require verification. No generic epoxy defaults are substituted.</w:t>
      </w:r>
    </w:p>
    <w:p>
      <w:r>
        <w:t>Single-lap x-z plane strain. Selected formulation for this source record. Changing it requires rerunning affected simulations.</w:t>
      </w:r>
    </w:p>
    <w:p>
      <w:hyperlink r:id="rId71">
        <w:r>
          <w:rPr>
            <w:color w:val="176EA4"/>
          </w:rPr>
          <w:t>Theory and assumptions</w:t>
        </w:r>
      </w:hyperlink>
      <w:r>
        <w:t xml:space="preserve"> </w:t>
      </w:r>
    </w:p>
    <w:p>
      <w:r>
        <w:t>Perfectly bonded elastic joint. This formulation does not use cohesive crack growth.</w:t>
      </w:r>
    </w:p>
    <w:p>
      <w:pPr>
        <w:pStyle w:val="Heading2"/>
      </w:pPr>
      <w:r>
        <w:t>Data between modules</w:t>
      </w:r>
    </w:p>
    <w:p>
      <w:r>
        <w:t>Materials to Laminates: Stored ply stiffness, strength, density and expansion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Materials to Mechanical: Constituent stiffness, strength, density and thermal / moisture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137">
        <w:r>
          <w:rPr>
            <w:color w:val="176EA4"/>
          </w:rPr>
          <w:t>Geometry, loading and virtual tests</w:t>
        </w:r>
      </w:hyperlink>
      <w:r>
        <w:t xml:space="preserve"> </w:t>
      </w:r>
    </w:p>
    <w:p>
      <w:hyperlink r:id="rId236">
        <w:r>
          <w:rPr>
            <w:color w:val="176EA4"/>
          </w:rPr>
          <w:t>Through-thickness section analysis and assumptions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48" w:name="chapter_48"/>
      <w:pPr>
        <w:pStyle w:val="Heading1"/>
        <w:pageBreakBefore/>
      </w:pPr>
      <w:r>
        <w:t>12 Sandwich bend skins core and bond screening</w:t>
      </w:r>
      <w:bookmarkEnd w:id="48"/>
    </w:p>
    <w:p>
      <w:pPr>
        <w:pStyle w:val="Caption"/>
      </w:pPr>
      <w:hyperlink r:id="rId35">
        <w:r>
          <w:rPr>
            <w:color w:val="176EA4"/>
          </w:rPr>
          <w:t>Online chapter</w:t>
        </w:r>
      </w:hyperlink>
      <w:r>
        <w:t xml:space="preserve"> </w:t>
      </w:r>
    </w:p>
    <w:p>
      <w:r>
        <w:t>Sandwich beam. Sandwich plate in three-point bend. Models: Sandwich beam screening, Core shear, Face wrinkling, Bond shear screening.</w:t>
      </w:r>
    </w:p>
    <w:p>
      <w:hyperlink r:id="rId237">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73" name="Picture 73" descr="CDS workflow or model illustration"/>
            <wp:cNvGraphicFramePr>
              <a:graphicFrameLocks noChangeAspect="1"/>
            </wp:cNvGraphicFramePr>
            <a:graphic>
              <a:graphicData uri="http://schemas.openxmlformats.org/drawingml/2006/picture">
                <pic:pic>
                  <pic:nvPicPr>
                    <pic:cNvPr id="0" name="rsvg-af26b8c5b3c96bd3d55d7ca68a6c29a03bec4539aa8e43daa356b793a00f7ecf.png"/>
                    <pic:cNvPicPr/>
                  </pic:nvPicPr>
                  <pic:blipFill>
                    <a:blip r:embed="rId238"/>
                    <a:stretch>
                      <a:fillRect/>
                    </a:stretch>
                  </pic:blipFill>
                  <pic:spPr>
                    <a:xfrm>
                      <a:off x="0" y="0"/>
                      <a:ext cx="6217920" cy="3067645"/>
                    </a:xfrm>
                    <a:prstGeom prst="rect"/>
                  </pic:spPr>
                </pic:pic>
              </a:graphicData>
            </a:graphic>
          </wp:inline>
        </w:drawing>
      </w:r>
    </w:p>
    <w:p>
      <w:pPr>
        <w:pStyle w:val="Heading2"/>
      </w:pPr>
      <w:r>
        <w:t>Tasks</w:t>
      </w:r>
    </w:p>
    <w:p>
      <w:r>
        <w:t>Inspect the two skins, core and bond allowables.</w:t>
      </w:r>
    </w:p>
    <w:p>
      <w:r>
        <w:t>Run and inspect deflection, core shear, face wrinkling and bond shear checks.</w:t>
      </w:r>
    </w:p>
    <w:p>
      <w:pPr>
        <w:pStyle w:val="Heading2"/>
      </w:pPr>
      <w:r>
        <w:t>Checkpoints</w:t>
      </w:r>
    </w:p>
    <w:p>
      <w:r>
        <w:t>Nonzero teaching strengths permit screening checks but are not measured allowables.</w:t>
      </w:r>
    </w:p>
    <w:p>
      <w:r>
        <w:t>Unassessed peel and mixed-mode bonding prevent an overall pass.</w:t>
      </w:r>
    </w:p>
    <w:p>
      <w:pPr>
        <w:pStyle w:val="Heading2"/>
      </w:pPr>
      <w:r>
        <w:t>Model limits</w:t>
      </w:r>
    </w:p>
    <w:p>
      <w:r>
        <w:t>Illustrative strengths only. Local peel and mixed-mode bond growth are not assessed. Completion is not an overall sandwich pass.</w:t>
      </w:r>
    </w:p>
    <w:p>
      <w:pPr>
        <w:pStyle w:val="Heading2"/>
      </w:pPr>
      <w:r>
        <w:t>Recorded validation</w:t>
      </w:r>
    </w:p>
    <w:p>
      <w:r>
        <w:t>2026-09-18 — Not benchmark validated: No matched quantitative reference comparison completed for the full exercise.</w:t>
      </w:r>
    </w:p>
    <w:p>
      <w:r>
        <w:t>Illustrative strengths only. Local peel and mixed-mode bond growth are not assessed. Completion is not an overall sandwich pass.</w:t>
      </w:r>
    </w:p>
    <w:p>
      <w:hyperlink r:id="rId239">
        <w:r>
          <w:rPr>
            <w:color w:val="176EA4"/>
          </w:rPr>
          <w:t>Validation evidence and tested inputs</w:t>
        </w:r>
      </w:hyperlink>
      <w:r>
        <w:t xml:space="preserve"> </w:t>
      </w:r>
    </w:p>
    <w:p>
      <w:pPr>
        <w:pStyle w:val="Heading2"/>
      </w:pPr>
      <w:r>
        <w:t>Connected models and submodels</w:t>
      </w:r>
    </w:p>
    <w:p>
      <w:r>
        <w:t>Sandwich three-point bend. Selected formulation for this source record. Changing it requires rerunning affected simulations.</w:t>
      </w:r>
    </w:p>
    <w:p>
      <w:hyperlink r:id="rId71">
        <w:r>
          <w:rPr>
            <w:color w:val="176EA4"/>
          </w:rPr>
          <w:t>Theory and assumptions</w:t>
        </w:r>
      </w:hyperlink>
      <w:r>
        <w:t xml:space="preserve"> </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49" w:name="chapter_49"/>
      <w:pPr>
        <w:pStyle w:val="Heading1"/>
        <w:pageBreakBefore/>
      </w:pPr>
      <w:r>
        <w:t>Hybrid short fibers orientation and volume balance</w:t>
      </w:r>
      <w:bookmarkEnd w:id="49"/>
    </w:p>
    <w:p>
      <w:pPr>
        <w:pStyle w:val="Caption"/>
      </w:pPr>
      <w:hyperlink r:id="rId35">
        <w:r>
          <w:rPr>
            <w:color w:val="176EA4"/>
          </w:rPr>
          <w:t>Online chapter</w:t>
        </w:r>
      </w:hyperlink>
      <w:r>
        <w:t xml:space="preserve"> </w:t>
      </w:r>
    </w:p>
    <w:p>
      <w:r>
        <w:t>Hybrid short-fiber lamina. Infinite plate. Models: Cox shear-lag elastic, Orientation averaging, Classical laminate theory.</w:t>
      </w:r>
    </w:p>
    <w:p>
      <w:hyperlink r:id="rId240">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74" name="Picture 74" descr="CDS workflow or model illustration"/>
            <wp:cNvGraphicFramePr>
              <a:graphicFrameLocks noChangeAspect="1"/>
            </wp:cNvGraphicFramePr>
            <a:graphic>
              <a:graphicData uri="http://schemas.openxmlformats.org/drawingml/2006/picture">
                <pic:pic>
                  <pic:nvPicPr>
                    <pic:cNvPr id="0" name="rsvg-5be3ed03d26f2a540128930c216ed12ac17fa8fd5c556d1271fe96765bfff356.png"/>
                    <pic:cNvPicPr/>
                  </pic:nvPicPr>
                  <pic:blipFill>
                    <a:blip r:embed="rId241"/>
                    <a:stretch>
                      <a:fillRect/>
                    </a:stretch>
                  </pic:blipFill>
                  <pic:spPr>
                    <a:xfrm>
                      <a:off x="0" y="0"/>
                      <a:ext cx="6217920" cy="3067645"/>
                    </a:xfrm>
                    <a:prstGeom prst="rect"/>
                  </pic:spPr>
                </pic:pic>
              </a:graphicData>
            </a:graphic>
          </wp:inline>
        </w:drawing>
      </w:r>
    </w:p>
    <w:p>
      <w:pPr>
        <w:pStyle w:val="Heading2"/>
      </w:pPr>
      <w:r>
        <w:t>Tasks</w:t>
      </w:r>
    </w:p>
    <w:p>
      <w:r>
        <w:t>Inspect both linked fibers: 20% T700 plus 10% IM7, 2% voids and 68% resin. Rotate the live 3D view; normalized fiber lengths are illustrative only.</w:t>
      </w:r>
    </w:p>
    <w:p>
      <w:r>
        <w:t>Run with Fa=1, then Fa=0/Fp=1, then Fa=0/Fp=0. Compare E1, E2, E3 and shear moduli.</w:t>
      </w:r>
    </w:p>
    <w:p>
      <w:r>
        <w:t>Hold total fiber at 30% and move volume between fiber 1 and fiber 2. Rerun and compare stiffness and density.</w:t>
      </w:r>
    </w:p>
    <w:p>
      <w:r>
        <w:t>Review classical failure inputs. The supplied zero allowables mean strength is not assessed; do not claim a pass from elasticity alone.</w:t>
      </w:r>
    </w:p>
    <w:p>
      <w:pPr>
        <w:pStyle w:val="Heading2"/>
      </w:pPr>
      <w:r>
        <w:t>Checkpoints</w:t>
      </w:r>
    </w:p>
    <w:p>
      <w:r>
        <w:t>In-plane random orientation gives E1 = E2; spatial random orientation gives E1 = E2 = E3.</w:t>
      </w:r>
    </w:p>
    <w:p>
      <w:r>
        <w:t>Fa=.5 and Fp=.5 represent 50% axial, 25% planar-random and 25% spatial-random fibers.</w:t>
      </w:r>
    </w:p>
    <w:p>
      <w:r>
        <w:t>Cox transfer is evaluated per fiber modulus. Hybrid transverse closure is an averaged-constituent screening approximation; it does not model phase interaction or debonding.</w:t>
      </w:r>
    </w:p>
    <w:p>
      <w:pPr>
        <w:pStyle w:val="Heading2"/>
      </w:pPr>
      <w:r>
        <w:t>Model limits</w:t>
      </w:r>
    </w:p>
    <w:p>
      <w:r>
        <w:t>Prescribed orientation, common filament dimensions and resin. Voigt stiffness averaging; not a manufacturing orientation prediction or progressive failure model. Thermal transport retains aligned closure assumptions.</w:t>
      </w:r>
    </w:p>
    <w:p>
      <w:pPr>
        <w:pStyle w:val="Heading2"/>
      </w:pPr>
      <w:r>
        <w:t>Recorded validation</w:t>
      </w:r>
    </w:p>
    <w:p>
      <w:r>
        <w:t>2026-09-18 — Not benchmark validated: No matched quantitative reference comparison completed for the full exercise.</w:t>
      </w:r>
    </w:p>
    <w:p>
      <w:r>
        <w:t>Prescribed orientation, common filament dimensions and resin. Voigt stiffness averaging; not a manufacturing orientation prediction or progressive failure model. Thermal transport retains aligned closure assumptions.</w:t>
      </w:r>
    </w:p>
    <w:p>
      <w:hyperlink r:id="rId242">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Cox shear-lag elastic. One compatible homogenization model per Micro recipe. Separate recipes compare models; their predictions are not blended.</w:t>
      </w:r>
    </w:p>
    <w:p>
      <w:hyperlink r:id="rId19">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30">
        <w:r>
          <w:rPr>
            <w:color w:val="176EA4"/>
          </w:rPr>
          <w:t>Create and connect a lamina</w:t>
        </w:r>
      </w:hyperlink>
      <w:r>
        <w:t xml:space="preserve"> </w:t>
      </w:r>
    </w:p>
    <w:p>
      <w:hyperlink r:id="rId29">
        <w:r>
          <w:rPr>
            <w:color w:val="176EA4"/>
          </w:rPr>
          <w:t>Edit material properties and units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hyperlink r:id="rId128">
        <w:r>
          <w:rPr>
            <w:color w:val="176EA4"/>
          </w:rPr>
          <w:t>Edit laminate materials, angles and thicknesses</w:t>
        </w:r>
      </w:hyperlink>
      <w:r>
        <w:t xml:space="preserve"> </w:t>
      </w:r>
    </w:p>
    <w:p>
      <w:pPr>
        <w:keepNext/>
      </w:pPr>
      <w:hyperlink r:id="rId28">
        <w:r>
          <w:rPr>
            <w:color w:val="176EA4"/>
          </w:rPr>
          <w:t>Related case study: NASA lamina analysis</w:t>
        </w:r>
      </w:hyperlink>
      <w:r>
        <w:t xml:space="preserve"> </w:t>
      </w:r>
    </w:p>
    <w:p>
      <w:r>
        <w:t>Record the inputs, units, solver notices and checkpoint results before drawing a conclusion. When exploring a variation, change one factor at a time and compare it with the original case.</w:t>
      </w:r>
    </w:p>
    <w:p>
      <w:bookmarkStart w:id="50" w:name="chapter_50"/>
      <w:pPr>
        <w:pStyle w:val="Heading1"/>
        <w:pageBreakBefore/>
      </w:pPr>
      <w:r>
        <w:t>T700/Epoxy Quasi-Isotropic stored-data layup</w:t>
      </w:r>
      <w:bookmarkEnd w:id="50"/>
    </w:p>
    <w:p>
      <w:pPr>
        <w:pStyle w:val="Caption"/>
      </w:pPr>
      <w:hyperlink r:id="rId35">
        <w:r>
          <w:rPr>
            <w:color w:val="176EA4"/>
          </w:rPr>
          <w:t>Online chapter</w:t>
        </w:r>
      </w:hyperlink>
      <w:r>
        <w:t xml:space="preserve"> </w:t>
      </w:r>
    </w:p>
    <w:p>
      <w:r>
        <w:t>Stored-material laminate. Infinite plate. Models: Stored lamina elasticity, Classical laminate theory, Maximum stress.</w:t>
      </w:r>
    </w:p>
    <w:p>
      <w:hyperlink r:id="rId243">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75" name="Picture 75" descr="CDS workflow or model illustration"/>
            <wp:cNvGraphicFramePr>
              <a:graphicFrameLocks noChangeAspect="1"/>
            </wp:cNvGraphicFramePr>
            <a:graphic>
              <a:graphicData uri="http://schemas.openxmlformats.org/drawingml/2006/picture">
                <pic:pic>
                  <pic:nvPicPr>
                    <pic:cNvPr id="0" name="rsvg-f7f1cbf109542939eb3e7738812b41f44ea7e7f7241d55af4ab4495966a604b1.png"/>
                    <pic:cNvPicPr/>
                  </pic:nvPicPr>
                  <pic:blipFill>
                    <a:blip r:embed="rId244"/>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LAM-QI-T700 | CDS2026_Beam_Analysis_Examples.cdsdb | 74780b9bf0abab55f0d6a0ff2e885a322196bea12ee6af9b4a08b0ebb7ce0db3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45">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51" w:name="chapter_51"/>
      <w:pPr>
        <w:pStyle w:val="Heading1"/>
        <w:pageBreakBefore/>
      </w:pPr>
      <w:r>
        <w:t>IM7/Toughened Epoxy Bending-Optimized stored-data layup</w:t>
      </w:r>
      <w:bookmarkEnd w:id="51"/>
    </w:p>
    <w:p>
      <w:pPr>
        <w:pStyle w:val="Caption"/>
      </w:pPr>
      <w:hyperlink r:id="rId35">
        <w:r>
          <w:rPr>
            <w:color w:val="176EA4"/>
          </w:rPr>
          <w:t>Online chapter</w:t>
        </w:r>
      </w:hyperlink>
      <w:r>
        <w:t xml:space="preserve"> </w:t>
      </w:r>
    </w:p>
    <w:p>
      <w:r>
        <w:t>Stored-material laminate. Infinite plate. Models: Stored lamina elasticity, Classical laminate theory, Maximum stress.</w:t>
      </w:r>
    </w:p>
    <w:p>
      <w:hyperlink r:id="rId246">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76" name="Picture 76" descr="CDS workflow or model illustration"/>
            <wp:cNvGraphicFramePr>
              <a:graphicFrameLocks noChangeAspect="1"/>
            </wp:cNvGraphicFramePr>
            <a:graphic>
              <a:graphicData uri="http://schemas.openxmlformats.org/drawingml/2006/picture">
                <pic:pic>
                  <pic:nvPicPr>
                    <pic:cNvPr id="0" name="rsvg-eab3dd229549ef514ebfa8df4f3b88737bdbddbbb8c524de73e4122c01d83d14.png"/>
                    <pic:cNvPicPr/>
                  </pic:nvPicPr>
                  <pic:blipFill>
                    <a:blip r:embed="rId247"/>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LAM-BEND-IM7 | CDS2026_Beam_Analysis_Examples.cdsdb | 74780b9bf0abab55f0d6a0ff2e885a322196bea12ee6af9b4a08b0ebb7ce0db3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48">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52" w:name="chapter_52"/>
      <w:pPr>
        <w:pStyle w:val="Heading1"/>
        <w:pageBreakBefore/>
      </w:pPr>
      <w:r>
        <w:t>T800/BMI Balanced Cylinder stored-data layup</w:t>
      </w:r>
      <w:bookmarkEnd w:id="52"/>
    </w:p>
    <w:p>
      <w:pPr>
        <w:pStyle w:val="Caption"/>
      </w:pPr>
      <w:hyperlink r:id="rId35">
        <w:r>
          <w:rPr>
            <w:color w:val="176EA4"/>
          </w:rPr>
          <w:t>Online chapter</w:t>
        </w:r>
      </w:hyperlink>
      <w:r>
        <w:t xml:space="preserve"> </w:t>
      </w:r>
    </w:p>
    <w:p>
      <w:r>
        <w:t>Stored-material laminate. Infinite plate. Models: Stored lamina elasticity, Classical laminate theory, Maximum stress.</w:t>
      </w:r>
    </w:p>
    <w:p>
      <w:hyperlink r:id="rId249">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77" name="Picture 77" descr="CDS workflow or model illustration"/>
            <wp:cNvGraphicFramePr>
              <a:graphicFrameLocks noChangeAspect="1"/>
            </wp:cNvGraphicFramePr>
            <a:graphic>
              <a:graphicData uri="http://schemas.openxmlformats.org/drawingml/2006/picture">
                <pic:pic>
                  <pic:nvPicPr>
                    <pic:cNvPr id="0" name="rsvg-ed3cd31990c0b1b7acd7b5f9e18cd457d479f908f1071940664f904b987c8b3c.png"/>
                    <pic:cNvPicPr/>
                  </pic:nvPicPr>
                  <pic:blipFill>
                    <a:blip r:embed="rId250"/>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LAM-CYL-BAL | CDS2026_Beam_Analysis_Examples.cdsdb | 74780b9bf0abab55f0d6a0ff2e885a322196bea12ee6af9b4a08b0ebb7ce0db3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51">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53" w:name="chapter_53"/>
      <w:pPr>
        <w:pStyle w:val="Heading1"/>
        <w:pageBreakBefore/>
      </w:pPr>
      <w:r>
        <w:t>AS4/PEEK Quasi-Isotropic stored-data layup</w:t>
      </w:r>
      <w:bookmarkEnd w:id="53"/>
    </w:p>
    <w:p>
      <w:pPr>
        <w:pStyle w:val="Caption"/>
      </w:pPr>
      <w:hyperlink r:id="rId35">
        <w:r>
          <w:rPr>
            <w:color w:val="176EA4"/>
          </w:rPr>
          <w:t>Online chapter</w:t>
        </w:r>
      </w:hyperlink>
      <w:r>
        <w:t xml:space="preserve"> </w:t>
      </w:r>
    </w:p>
    <w:p>
      <w:r>
        <w:t>Stored-material laminate. Infinite plate. Models: Stored lamina elasticity, Classical laminate theory, Maximum stress.</w:t>
      </w:r>
    </w:p>
    <w:p>
      <w:hyperlink r:id="rId252">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78" name="Picture 78" descr="CDS workflow or model illustration"/>
            <wp:cNvGraphicFramePr>
              <a:graphicFrameLocks noChangeAspect="1"/>
            </wp:cNvGraphicFramePr>
            <a:graphic>
              <a:graphicData uri="http://schemas.openxmlformats.org/drawingml/2006/picture">
                <pic:pic>
                  <pic:nvPicPr>
                    <pic:cNvPr id="0" name="rsvg-718a5073a85c233a10b087e0dd1295b3b087f3ec0c3f1ee5c6a96d6a6fc47141.png"/>
                    <pic:cNvPicPr/>
                  </pic:nvPicPr>
                  <pic:blipFill>
                    <a:blip r:embed="rId253"/>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LAM-QI-PEEK | CDS2026_Beam_Analysis_Examples.cdsdb | 74780b9bf0abab55f0d6a0ff2e885a322196bea12ee6af9b4a08b0ebb7ce0db3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54">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54" w:name="chapter_54"/>
      <w:pPr>
        <w:pStyle w:val="Heading1"/>
        <w:pageBreakBefore/>
      </w:pPr>
      <w:r>
        <w:t>T800/BMI Hoop-Dominant Cylinder stored-data layup</w:t>
      </w:r>
      <w:bookmarkEnd w:id="54"/>
    </w:p>
    <w:p>
      <w:pPr>
        <w:pStyle w:val="Caption"/>
      </w:pPr>
      <w:hyperlink r:id="rId35">
        <w:r>
          <w:rPr>
            <w:color w:val="176EA4"/>
          </w:rPr>
          <w:t>Online chapter</w:t>
        </w:r>
      </w:hyperlink>
      <w:r>
        <w:t xml:space="preserve"> </w:t>
      </w:r>
    </w:p>
    <w:p>
      <w:r>
        <w:t>Stored-material laminate. Infinite plate. Models: Stored lamina elasticity, Classical laminate theory, Maximum stress.</w:t>
      </w:r>
    </w:p>
    <w:p>
      <w:hyperlink r:id="rId255">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79" name="Picture 79" descr="CDS workflow or model illustration"/>
            <wp:cNvGraphicFramePr>
              <a:graphicFrameLocks noChangeAspect="1"/>
            </wp:cNvGraphicFramePr>
            <a:graphic>
              <a:graphicData uri="http://schemas.openxmlformats.org/drawingml/2006/picture">
                <pic:pic>
                  <pic:nvPicPr>
                    <pic:cNvPr id="0" name="rsvg-0e5cd0e3532d89f8aa227cd05311fec1bd551a847d4f4104139b04db356a30cd.png"/>
                    <pic:cNvPicPr/>
                  </pic:nvPicPr>
                  <pic:blipFill>
                    <a:blip r:embed="rId256"/>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LAM-CYL-HOOP | CDS2026_Cylinder_Analysis_Examples.cdsdb | a904c85c45a10843a7db0ccec4ba7a9de1f7d0b91b793ff7c63d6b31b2dae48a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57">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55" w:name="chapter_55"/>
      <w:pPr>
        <w:pStyle w:val="Heading1"/>
        <w:pageBreakBefore/>
      </w:pPr>
      <w:r>
        <w:t>T700/Epoxy Cross-Ply stored-data layup</w:t>
      </w:r>
      <w:bookmarkEnd w:id="55"/>
    </w:p>
    <w:p>
      <w:pPr>
        <w:pStyle w:val="Caption"/>
      </w:pPr>
      <w:hyperlink r:id="rId35">
        <w:r>
          <w:rPr>
            <w:color w:val="176EA4"/>
          </w:rPr>
          <w:t>Online chapter</w:t>
        </w:r>
      </w:hyperlink>
      <w:r>
        <w:t xml:space="preserve"> </w:t>
      </w:r>
    </w:p>
    <w:p>
      <w:r>
        <w:t>Stored-material laminate. Infinite plate. Models: Stored lamina elasticity, Classical laminate theory, Maximum stress.</w:t>
      </w:r>
    </w:p>
    <w:p>
      <w:hyperlink r:id="rId258">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80" name="Picture 80" descr="CDS workflow or model illustration"/>
            <wp:cNvGraphicFramePr>
              <a:graphicFrameLocks noChangeAspect="1"/>
            </wp:cNvGraphicFramePr>
            <a:graphic>
              <a:graphicData uri="http://schemas.openxmlformats.org/drawingml/2006/picture">
                <pic:pic>
                  <pic:nvPicPr>
                    <pic:cNvPr id="0" name="rsvg-52168aa90bd83e8f22eb2b290426f5e059922230ea9e2694cf8f30ee23465c2d.png"/>
                    <pic:cNvPicPr/>
                  </pic:nvPicPr>
                  <pic:blipFill>
                    <a:blip r:embed="rId259"/>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LAM-XPLY-T700 | CDS2026_Expanded_Sample_Source.cdsdb | 10821a0fdf842b7ee4040a70b6141838bebee06c14fd2824a9da1d3edc2d3d1d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60">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56" w:name="chapter_56"/>
      <w:pPr>
        <w:pStyle w:val="Heading1"/>
        <w:pageBreakBefore/>
      </w:pPr>
      <w:r>
        <w:t>T700/Epoxy Balanced Angle-Ply stored-data layup</w:t>
      </w:r>
      <w:bookmarkEnd w:id="56"/>
    </w:p>
    <w:p>
      <w:pPr>
        <w:pStyle w:val="Caption"/>
      </w:pPr>
      <w:hyperlink r:id="rId35">
        <w:r>
          <w:rPr>
            <w:color w:val="176EA4"/>
          </w:rPr>
          <w:t>Online chapter</w:t>
        </w:r>
      </w:hyperlink>
      <w:r>
        <w:t xml:space="preserve"> </w:t>
      </w:r>
    </w:p>
    <w:p>
      <w:r>
        <w:t>Stored-material laminate. Infinite plate. Models: Stored lamina elasticity, Classical laminate theory, Maximum stress.</w:t>
      </w:r>
    </w:p>
    <w:p>
      <w:hyperlink r:id="rId261">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81" name="Picture 81" descr="CDS workflow or model illustration"/>
            <wp:cNvGraphicFramePr>
              <a:graphicFrameLocks noChangeAspect="1"/>
            </wp:cNvGraphicFramePr>
            <a:graphic>
              <a:graphicData uri="http://schemas.openxmlformats.org/drawingml/2006/picture">
                <pic:pic>
                  <pic:nvPicPr>
                    <pic:cNvPr id="0" name="rsvg-a3ab8063870527fcdd1de21b30c48918a7a7aecf6f665234bc40e5ebfc1cb7a4.png"/>
                    <pic:cNvPicPr/>
                  </pic:nvPicPr>
                  <pic:blipFill>
                    <a:blip r:embed="rId262"/>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LAM-ANGLE-T700 | CDS2026_Expanded_Sample_Source.cdsdb | 10821a0fdf842b7ee4040a70b6141838bebee06c14fd2824a9da1d3edc2d3d1d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63">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57" w:name="chapter_57"/>
      <w:pPr>
        <w:pStyle w:val="Heading1"/>
        <w:pageBreakBefore/>
      </w:pPr>
      <w:r>
        <w:t>IM7/Toughened Epoxy Unidirectional stored-data layup</w:t>
      </w:r>
      <w:bookmarkEnd w:id="57"/>
    </w:p>
    <w:p>
      <w:pPr>
        <w:pStyle w:val="Caption"/>
      </w:pPr>
      <w:hyperlink r:id="rId35">
        <w:r>
          <w:rPr>
            <w:color w:val="176EA4"/>
          </w:rPr>
          <w:t>Online chapter</w:t>
        </w:r>
      </w:hyperlink>
      <w:r>
        <w:t xml:space="preserve"> </w:t>
      </w:r>
    </w:p>
    <w:p>
      <w:r>
        <w:t>Stored-material laminate. Infinite plate. Models: Stored lamina elasticity, Classical laminate theory, Maximum stress.</w:t>
      </w:r>
    </w:p>
    <w:p>
      <w:hyperlink r:id="rId264">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82" name="Picture 82" descr="CDS workflow or model illustration"/>
            <wp:cNvGraphicFramePr>
              <a:graphicFrameLocks noChangeAspect="1"/>
            </wp:cNvGraphicFramePr>
            <a:graphic>
              <a:graphicData uri="http://schemas.openxmlformats.org/drawingml/2006/picture">
                <pic:pic>
                  <pic:nvPicPr>
                    <pic:cNvPr id="0" name="rsvg-4c4524561d0c99b966c93e36115a6e56514fe8268b04fce0653d8ab11dfcc67a.png"/>
                    <pic:cNvPicPr/>
                  </pic:nvPicPr>
                  <pic:blipFill>
                    <a:blip r:embed="rId265"/>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LAM-UD-IM7 | CDS2026_Expanded_Sample_Source.cdsdb | 10821a0fdf842b7ee4040a70b6141838bebee06c14fd2824a9da1d3edc2d3d1d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66">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58" w:name="chapter_58"/>
      <w:pPr>
        <w:pStyle w:val="Heading1"/>
        <w:pageBreakBefore/>
      </w:pPr>
      <w:r>
        <w:t>AS4/PEEK Cross-Ply stored-data layup</w:t>
      </w:r>
      <w:bookmarkEnd w:id="58"/>
    </w:p>
    <w:p>
      <w:pPr>
        <w:pStyle w:val="Caption"/>
      </w:pPr>
      <w:hyperlink r:id="rId35">
        <w:r>
          <w:rPr>
            <w:color w:val="176EA4"/>
          </w:rPr>
          <w:t>Online chapter</w:t>
        </w:r>
      </w:hyperlink>
      <w:r>
        <w:t xml:space="preserve"> </w:t>
      </w:r>
    </w:p>
    <w:p>
      <w:r>
        <w:t>Stored-material laminate. Infinite plate. Models: Stored lamina elasticity, Classical laminate theory, Maximum stress.</w:t>
      </w:r>
    </w:p>
    <w:p>
      <w:hyperlink r:id="rId267">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83" name="Picture 83" descr="CDS workflow or model illustration"/>
            <wp:cNvGraphicFramePr>
              <a:graphicFrameLocks noChangeAspect="1"/>
            </wp:cNvGraphicFramePr>
            <a:graphic>
              <a:graphicData uri="http://schemas.openxmlformats.org/drawingml/2006/picture">
                <pic:pic>
                  <pic:nvPicPr>
                    <pic:cNvPr id="0" name="rsvg-39e563631caace15dbfbed6e5c25cc729d20f34968d5d693a791aa824366391e.png"/>
                    <pic:cNvPicPr/>
                  </pic:nvPicPr>
                  <pic:blipFill>
                    <a:blip r:embed="rId268"/>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LAM-XPLY-PEEK | CDS2026_Expanded_Sample_Source.cdsdb | 10821a0fdf842b7ee4040a70b6141838bebee06c14fd2824a9da1d3edc2d3d1d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69">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59" w:name="chapter_59"/>
      <w:pPr>
        <w:pStyle w:val="Heading1"/>
        <w:pageBreakBefore/>
      </w:pPr>
      <w:r>
        <w:t>T300/Phenolic Woven Symmetric stored-data layup</w:t>
      </w:r>
      <w:bookmarkEnd w:id="59"/>
    </w:p>
    <w:p>
      <w:pPr>
        <w:pStyle w:val="Caption"/>
      </w:pPr>
      <w:hyperlink r:id="rId35">
        <w:r>
          <w:rPr>
            <w:color w:val="176EA4"/>
          </w:rPr>
          <w:t>Online chapter</w:t>
        </w:r>
      </w:hyperlink>
      <w:r>
        <w:t xml:space="preserve"> </w:t>
      </w:r>
    </w:p>
    <w:p>
      <w:r>
        <w:t>Stored-material laminate. Infinite plate. Models: Stored lamina elasticity, Classical laminate theory, Maximum stress.</w:t>
      </w:r>
    </w:p>
    <w:p>
      <w:hyperlink r:id="rId270">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84" name="Picture 84" descr="CDS workflow or model illustration"/>
            <wp:cNvGraphicFramePr>
              <a:graphicFrameLocks noChangeAspect="1"/>
            </wp:cNvGraphicFramePr>
            <a:graphic>
              <a:graphicData uri="http://schemas.openxmlformats.org/drawingml/2006/picture">
                <pic:pic>
                  <pic:nvPicPr>
                    <pic:cNvPr id="0" name="rsvg-71c1189af2931b9805b2daca6d6f1d3b07f23ea75ea0a7751d5c9aca646ad1e8.png"/>
                    <pic:cNvPicPr/>
                  </pic:nvPicPr>
                  <pic:blipFill>
                    <a:blip r:embed="rId271"/>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LAM-WOVEN-PHEN | CDS2026_Expanded_Sample_Source.cdsdb | 10821a0fdf842b7ee4040a70b6141838bebee06c14fd2824a9da1d3edc2d3d1d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72">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60" w:name="chapter_60"/>
      <w:pPr>
        <w:pStyle w:val="Heading1"/>
        <w:pageBreakBefore/>
      </w:pPr>
      <w:r>
        <w:t>T300/EPON 862 Quasi-Isotropic stored-data layup</w:t>
      </w:r>
      <w:bookmarkEnd w:id="60"/>
    </w:p>
    <w:p>
      <w:pPr>
        <w:pStyle w:val="Caption"/>
      </w:pPr>
      <w:hyperlink r:id="rId35">
        <w:r>
          <w:rPr>
            <w:color w:val="176EA4"/>
          </w:rPr>
          <w:t>Online chapter</w:t>
        </w:r>
      </w:hyperlink>
      <w:r>
        <w:t xml:space="preserve"> </w:t>
      </w:r>
    </w:p>
    <w:p>
      <w:r>
        <w:t>Stored-material laminate. Infinite plate. Models: Stored lamina elasticity, Classical laminate theory, Maximum stress.</w:t>
      </w:r>
    </w:p>
    <w:p>
      <w:hyperlink r:id="rId273">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85" name="Picture 85" descr="CDS workflow or model illustration"/>
            <wp:cNvGraphicFramePr>
              <a:graphicFrameLocks noChangeAspect="1"/>
            </wp:cNvGraphicFramePr>
            <a:graphic>
              <a:graphicData uri="http://schemas.openxmlformats.org/drawingml/2006/picture">
                <pic:pic>
                  <pic:nvPicPr>
                    <pic:cNvPr id="0" name="rsvg-72689971da512a1b2a0023c98aa1ae425d4e9fe440a973160b46cfe348fdb285.png"/>
                    <pic:cNvPicPr/>
                  </pic:nvPicPr>
                  <pic:blipFill>
                    <a:blip r:embed="rId274"/>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LAM-QI-T300-EPON862 | CDS2026_Expanded_Sample_Source.cdsdb | 10821a0fdf842b7ee4040a70b6141838bebee06c14fd2824a9da1d3edc2d3d1d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75">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61" w:name="chapter_61"/>
      <w:pPr>
        <w:pStyle w:val="Heading1"/>
        <w:pageBreakBefore/>
      </w:pPr>
      <w:r>
        <w:t>T800/977-3 Quasi-Isotropic stored-data layup</w:t>
      </w:r>
      <w:bookmarkEnd w:id="61"/>
    </w:p>
    <w:p>
      <w:pPr>
        <w:pStyle w:val="Caption"/>
      </w:pPr>
      <w:hyperlink r:id="rId35">
        <w:r>
          <w:rPr>
            <w:color w:val="176EA4"/>
          </w:rPr>
          <w:t>Online chapter</w:t>
        </w:r>
      </w:hyperlink>
      <w:r>
        <w:t xml:space="preserve"> </w:t>
      </w:r>
    </w:p>
    <w:p>
      <w:r>
        <w:t>Stored-material laminate. Infinite plate. Models: Stored lamina elasticity, Classical laminate theory, Maximum stress.</w:t>
      </w:r>
    </w:p>
    <w:p>
      <w:hyperlink r:id="rId276">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86" name="Picture 86" descr="CDS workflow or model illustration"/>
            <wp:cNvGraphicFramePr>
              <a:graphicFrameLocks noChangeAspect="1"/>
            </wp:cNvGraphicFramePr>
            <a:graphic>
              <a:graphicData uri="http://schemas.openxmlformats.org/drawingml/2006/picture">
                <pic:pic>
                  <pic:nvPicPr>
                    <pic:cNvPr id="0" name="rsvg-4100e1c2b3b660e66e8e6bdd87992adaf05c8d3203adbd9fca3b1af1fc8a9326.png"/>
                    <pic:cNvPicPr/>
                  </pic:nvPicPr>
                  <pic:blipFill>
                    <a:blip r:embed="rId277"/>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LAM-QI-T800-9773 | CDS2026_Expanded_Sample_Source.cdsdb | 10821a0fdf842b7ee4040a70b6141838bebee06c14fd2824a9da1d3edc2d3d1d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78">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62" w:name="chapter_62"/>
      <w:pPr>
        <w:pStyle w:val="Heading1"/>
        <w:pageBreakBefore/>
      </w:pPr>
      <w:r>
        <w:t>AS4/LY 1564 Quasi-Isotropic stored-data layup</w:t>
      </w:r>
      <w:bookmarkEnd w:id="62"/>
    </w:p>
    <w:p>
      <w:pPr>
        <w:pStyle w:val="Caption"/>
      </w:pPr>
      <w:hyperlink r:id="rId35">
        <w:r>
          <w:rPr>
            <w:color w:val="176EA4"/>
          </w:rPr>
          <w:t>Online chapter</w:t>
        </w:r>
      </w:hyperlink>
      <w:r>
        <w:t xml:space="preserve"> </w:t>
      </w:r>
    </w:p>
    <w:p>
      <w:r>
        <w:t>Stored-material laminate. Infinite plate. Models: Stored lamina elasticity, Classical laminate theory, Maximum stress.</w:t>
      </w:r>
    </w:p>
    <w:p>
      <w:hyperlink r:id="rId279">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87" name="Picture 87" descr="CDS workflow or model illustration"/>
            <wp:cNvGraphicFramePr>
              <a:graphicFrameLocks noChangeAspect="1"/>
            </wp:cNvGraphicFramePr>
            <a:graphic>
              <a:graphicData uri="http://schemas.openxmlformats.org/drawingml/2006/picture">
                <pic:pic>
                  <pic:nvPicPr>
                    <pic:cNvPr id="0" name="rsvg-5d66bdb57ec37740298fab3996f722511e38c00c8f65c1bf61663df7e08c2f80.png"/>
                    <pic:cNvPicPr/>
                  </pic:nvPicPr>
                  <pic:blipFill>
                    <a:blip r:embed="rId280"/>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LAM-QI-AS4-LY1564 | CDS2026_Expanded_Sample_Source.cdsdb | 10821a0fdf842b7ee4040a70b6141838bebee06c14fd2824a9da1d3edc2d3d1d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81">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63" w:name="chapter_63"/>
      <w:pPr>
        <w:pStyle w:val="Heading1"/>
        <w:pageBreakBefore/>
      </w:pPr>
      <w:r>
        <w:t>IM7/8552-Type Quasi-Isotropic stored-data layup</w:t>
      </w:r>
      <w:bookmarkEnd w:id="63"/>
    </w:p>
    <w:p>
      <w:pPr>
        <w:pStyle w:val="Caption"/>
      </w:pPr>
      <w:hyperlink r:id="rId35">
        <w:r>
          <w:rPr>
            <w:color w:val="176EA4"/>
          </w:rPr>
          <w:t>Online chapter</w:t>
        </w:r>
      </w:hyperlink>
      <w:r>
        <w:t xml:space="preserve"> </w:t>
      </w:r>
    </w:p>
    <w:p>
      <w:r>
        <w:t>Stored-material laminate. Infinite plate. Models: Stored lamina elasticity, Classical laminate theory, Maximum stress.</w:t>
      </w:r>
    </w:p>
    <w:p>
      <w:hyperlink r:id="rId282">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88" name="Picture 88" descr="CDS workflow or model illustration"/>
            <wp:cNvGraphicFramePr>
              <a:graphicFrameLocks noChangeAspect="1"/>
            </wp:cNvGraphicFramePr>
            <a:graphic>
              <a:graphicData uri="http://schemas.openxmlformats.org/drawingml/2006/picture">
                <pic:pic>
                  <pic:nvPicPr>
                    <pic:cNvPr id="0" name="rsvg-4fe6a316692a0ce246feb8c0170c7fe6fc2191107eb36b21c6f6aa817bbca95d.png"/>
                    <pic:cNvPicPr/>
                  </pic:nvPicPr>
                  <pic:blipFill>
                    <a:blip r:embed="rId283"/>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added teaching load Nx = 1 N/mm. Inspect stiffness, strain and ply stresses; this load was not stored in the original library.</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LAM-QI-IM7-8552 | CDS2026_Expanded_Sample_Source.cdsdb | 10821a0fdf842b7ee4040a70b6141838bebee06c14fd2824a9da1d3edc2d3d1d | Original stored data with a new explicit unit-resultant teaching load</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84">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64" w:name="chapter_64"/>
      <w:pPr>
        <w:pStyle w:val="Heading1"/>
        <w:pageBreakBefore/>
      </w:pPr>
      <w:r>
        <w:t>Quasi-Isotropic Plate in Uniaxial Tension resultant response</w:t>
      </w:r>
      <w:bookmarkEnd w:id="64"/>
    </w:p>
    <w:p>
      <w:pPr>
        <w:pStyle w:val="Caption"/>
      </w:pPr>
      <w:hyperlink r:id="rId35">
        <w:r>
          <w:rPr>
            <w:color w:val="176EA4"/>
          </w:rPr>
          <w:t>Online chapter</w:t>
        </w:r>
      </w:hyperlink>
      <w:r>
        <w:t xml:space="preserve"> </w:t>
      </w:r>
    </w:p>
    <w:p>
      <w:r>
        <w:t>Plate resultants. Finite plate. Models: Stored lamina elasticity, Classical laminate theory, Maximum stress.</w:t>
      </w:r>
    </w:p>
    <w:p>
      <w:hyperlink r:id="rId285">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89" name="Picture 89" descr="CDS workflow or model illustration"/>
            <wp:cNvGraphicFramePr>
              <a:graphicFrameLocks noChangeAspect="1"/>
            </wp:cNvGraphicFramePr>
            <a:graphic>
              <a:graphicData uri="http://schemas.openxmlformats.org/drawingml/2006/picture">
                <pic:pic>
                  <pic:nvPicPr>
                    <pic:cNvPr id="0" name="rsvg-847b1f974fc49b4fad658c56b2a1fb77b49b27bccc5d4eca963394d73172e0f4.png"/>
                    <pic:cNvPicPr/>
                  </pic:nvPicPr>
                  <pic:blipFill>
                    <a:blip r:embed="rId286"/>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original prescribed resultants and inspect strains, curvature and ply stresses. Original progressive flags are documented but no progressive sweep is inferred.</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STR-PL-001 | CDS2026_Expanded_Sample_Source.cdsdb | 10821a0fdf842b7ee4040a70b6141838bebee06c14fd2824a9da1d3edc2d3d1d | Original resultants, reference elastic CLT only</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87">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65" w:name="chapter_65"/>
      <w:pPr>
        <w:pStyle w:val="Heading1"/>
        <w:pageBreakBefore/>
      </w:pPr>
      <w:r>
        <w:t>Cross-Ply Plate under Pure Bending resultant response</w:t>
      </w:r>
      <w:bookmarkEnd w:id="65"/>
    </w:p>
    <w:p>
      <w:pPr>
        <w:pStyle w:val="Caption"/>
      </w:pPr>
      <w:hyperlink r:id="rId35">
        <w:r>
          <w:rPr>
            <w:color w:val="176EA4"/>
          </w:rPr>
          <w:t>Online chapter</w:t>
        </w:r>
      </w:hyperlink>
      <w:r>
        <w:t xml:space="preserve"> </w:t>
      </w:r>
    </w:p>
    <w:p>
      <w:r>
        <w:t>Plate resultants. Finite plate. Models: Stored lamina elasticity, Classical laminate theory, Maximum stress.</w:t>
      </w:r>
    </w:p>
    <w:p>
      <w:hyperlink r:id="rId288">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90" name="Picture 90" descr="CDS workflow or model illustration"/>
            <wp:cNvGraphicFramePr>
              <a:graphicFrameLocks noChangeAspect="1"/>
            </wp:cNvGraphicFramePr>
            <a:graphic>
              <a:graphicData uri="http://schemas.openxmlformats.org/drawingml/2006/picture">
                <pic:pic>
                  <pic:nvPicPr>
                    <pic:cNvPr id="0" name="rsvg-72f296dbdc82d0c41d7aa68e5108653de484afd73e6c1d7350c7be43a9344f16.png"/>
                    <pic:cNvPicPr/>
                  </pic:nvPicPr>
                  <pic:blipFill>
                    <a:blip r:embed="rId289"/>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original prescribed resultants and inspect strains, curvature and ply stresses. Original progressive flags are documented but no progressive sweep is inferred.</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STR-PL-002 | CDS2026_Expanded_Sample_Source.cdsdb | 10821a0fdf842b7ee4040a70b6141838bebee06c14fd2824a9da1d3edc2d3d1d | Original resultants, reference elastic CLT only</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90">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66" w:name="chapter_66"/>
      <w:pPr>
        <w:pStyle w:val="Heading1"/>
        <w:pageBreakBefore/>
      </w:pPr>
      <w:r>
        <w:t>Angle-Ply Plate under Biaxial Load and Shear resultant response</w:t>
      </w:r>
      <w:bookmarkEnd w:id="66"/>
    </w:p>
    <w:p>
      <w:pPr>
        <w:pStyle w:val="Caption"/>
      </w:pPr>
      <w:hyperlink r:id="rId35">
        <w:r>
          <w:rPr>
            <w:color w:val="176EA4"/>
          </w:rPr>
          <w:t>Online chapter</w:t>
        </w:r>
      </w:hyperlink>
      <w:r>
        <w:t xml:space="preserve"> </w:t>
      </w:r>
    </w:p>
    <w:p>
      <w:r>
        <w:t>Plate resultants. Finite plate. Models: Stored lamina elasticity, Classical laminate theory, Maximum stress.</w:t>
      </w:r>
    </w:p>
    <w:p>
      <w:hyperlink r:id="rId291">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91" name="Picture 91" descr="CDS workflow or model illustration"/>
            <wp:cNvGraphicFramePr>
              <a:graphicFrameLocks noChangeAspect="1"/>
            </wp:cNvGraphicFramePr>
            <a:graphic>
              <a:graphicData uri="http://schemas.openxmlformats.org/drawingml/2006/picture">
                <pic:pic>
                  <pic:nvPicPr>
                    <pic:cNvPr id="0" name="rsvg-56f7a4ed37c81e089c8aab007448b5a918a8b481a942b94f33d7d2affbc70e3b.png"/>
                    <pic:cNvPicPr/>
                  </pic:nvPicPr>
                  <pic:blipFill>
                    <a:blip r:embed="rId292"/>
                    <a:stretch>
                      <a:fillRect/>
                    </a:stretch>
                  </pic:blipFill>
                  <pic:spPr>
                    <a:xfrm>
                      <a:off x="0" y="0"/>
                      <a:ext cx="6217920" cy="3067645"/>
                    </a:xfrm>
                    <a:prstGeom prst="rect"/>
                  </pic:spPr>
                </pic:pic>
              </a:graphicData>
            </a:graphic>
          </wp:inline>
        </w:drawing>
      </w:r>
    </w:p>
    <w:p>
      <w:pPr>
        <w:pStyle w:val="Heading2"/>
      </w:pPr>
      <w:r>
        <w:t>Tasks</w:t>
      </w:r>
    </w:p>
    <w:p>
      <w:r>
        <w:t>Trace the stored material-to-laminate path. Inspect original file, record ID, property status and units; Micro is intentionally not used.</w:t>
      </w:r>
    </w:p>
    <w:p>
      <w:r>
        <w:t>Run the original prescribed resultants and inspect strains, curvature and ply stresses. Original progressive flags are documented but no progressive sweep is inferred.</w:t>
      </w:r>
    </w:p>
    <w:p>
      <w:r>
        <w:t>Double one applied resultant, rerun, and compare the corresponding linear response. Record the model limits before interpreting strength.</w:t>
      </w:r>
    </w:p>
    <w:p>
      <w:pPr>
        <w:pStyle w:val="Heading2"/>
      </w:pPr>
      <w:r>
        <w:t>Checkpoints</w:t>
      </w:r>
    </w:p>
    <w:p>
      <w:r>
        <w:t>Stored moduli and strengths retain their original SI values after display-unit conversion.</w:t>
      </w:r>
    </w:p>
    <w:p>
      <w:r>
        <w:t>Each original ply angle and thickness is retained; no constituent mixing or cure model is substituted.</w:t>
      </w:r>
    </w:p>
    <w:p>
      <w:r>
        <w:t>These are executable teaching studies, not independently validated physical benchmarks.</w:t>
      </w:r>
    </w:p>
    <w:p>
      <w:pPr>
        <w:pStyle w:val="Heading2"/>
      </w:pPr>
      <w:r>
        <w:t>Model limits</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pStyle w:val="Heading2"/>
      </w:pPr>
      <w:r>
        <w:t>Source data</w:t>
      </w:r>
    </w:p>
    <w:p>
      <w:r>
        <w:t>STR-PL-004 | CDS2026_Expanded_Sample_Source.cdsdb | 10821a0fdf842b7ee4040a70b6141838bebee06c14fd2824a9da1d3edc2d3d1d | Original resultants, reference elastic CLT only</w:t>
      </w:r>
    </w:p>
    <w:p>
      <w:pPr>
        <w:pStyle w:val="Heading2"/>
      </w:pPr>
      <w:r>
        <w:t>Recorded validation</w:t>
      </w:r>
    </w:p>
    <w:p>
      <w:r>
        <w:t>2026-09-18 — Benchmark validated — analytical scope: Listed reference-elastic extensional constants only; free curvature, ply stresses, strength and every user variation are outside this badge.</w:t>
      </w:r>
    </w:p>
    <w:p>
      <w: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hyperlink r:id="rId293">
        <w:r>
          <w:rPr>
            <w:color w:val="176EA4"/>
          </w:rPr>
          <w:t>Validation evidence and tested inputs</w:t>
        </w:r>
      </w:hyperlink>
      <w:r>
        <w:t xml:space="preserve"> </w:t>
      </w:r>
    </w:p>
    <w:p>
      <w:pPr>
        <w:pStyle w:val="Heading2"/>
      </w:pPr>
      <w:r>
        <w:t>Connected models and submodels</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1">
        <w:r>
          <w:rPr>
            <w:color w:val="176EA4"/>
          </w:rPr>
          <w:t>Review effective properties</w:t>
        </w:r>
      </w:hyperlink>
      <w:r>
        <w:t xml:space="preserve"> </w:t>
      </w:r>
    </w:p>
    <w:p>
      <w:hyperlink r:id="rId32">
        <w:r>
          <w:rPr>
            <w:color w:val="176EA4"/>
          </w:rPr>
          <w:t>Connected inputs and result freshness</w:t>
        </w:r>
      </w:hyperlink>
      <w:r>
        <w:t xml:space="preserve"> </w:t>
      </w:r>
    </w:p>
    <w:p>
      <w:pPr>
        <w:keepNext/>
      </w:pPr>
      <w:hyperlink r:id="rId137">
        <w:r>
          <w:rPr>
            <w:color w:val="176EA4"/>
          </w:rPr>
          <w:t>Geometry, loading and virtual tests</w:t>
        </w:r>
      </w:hyperlink>
      <w:r>
        <w:t xml:space="preserve"> </w:t>
      </w:r>
    </w:p>
    <w:p>
      <w:r>
        <w:t>Record the inputs, units, solver notices and checkpoint results before drawing a conclusion. When exploring a variation, change one factor at a time and compare it with the original case.</w:t>
      </w:r>
    </w:p>
    <w:p>
      <w:bookmarkStart w:id="67" w:name="chapter_67"/>
      <w:pPr>
        <w:pStyle w:val="Heading1"/>
        <w:pageBreakBefore/>
      </w:pPr>
      <w:r>
        <w:t>NASA Balanced T700/epoxy tube laminate</w:t>
      </w:r>
      <w:bookmarkEnd w:id="67"/>
    </w:p>
    <w:p>
      <w:pPr>
        <w:pStyle w:val="Caption"/>
      </w:pPr>
      <w:hyperlink r:id="rId35">
        <w:r>
          <w:rPr>
            <w:color w:val="176EA4"/>
          </w:rPr>
          <w:t>Online chapter</w:t>
        </w:r>
      </w:hyperlink>
      <w:r>
        <w:t xml:space="preserve"> </w:t>
      </w:r>
    </w:p>
    <w:p>
      <w:r>
        <w:t>Angle-ply laminate design. Circular tube. Models: Classical laminate theory, Carpet plots, Classical first-ply failure.</w:t>
      </w:r>
    </w:p>
    <w:p>
      <w:hyperlink r:id="rId294">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92" name="Picture 92" descr="CDS workflow or model illustration"/>
            <wp:cNvGraphicFramePr>
              <a:graphicFrameLocks noChangeAspect="1"/>
            </wp:cNvGraphicFramePr>
            <a:graphic>
              <a:graphicData uri="http://schemas.openxmlformats.org/drawingml/2006/picture">
                <pic:pic>
                  <pic:nvPicPr>
                    <pic:cNvPr id="0" name="rsvg-19eeaae05f196cfabfe7832de9d92bd3f09448215bf20d7c2fa33ca4cdee5e8a.png"/>
                    <pic:cNvPicPr/>
                  </pic:nvPicPr>
                  <pic:blipFill>
                    <a:blip r:embed="rId38"/>
                    <a:stretch>
                      <a:fillRect/>
                    </a:stretch>
                  </pic:blipFill>
                  <pic:spPr>
                    <a:xfrm>
                      <a:off x="0" y="0"/>
                      <a:ext cx="6217920" cy="3067645"/>
                    </a:xfrm>
                    <a:prstGeom prst="rect"/>
                  </pic:spPr>
                </pic:pic>
              </a:graphicData>
            </a:graphic>
          </wp:inline>
        </w:drawing>
      </w:r>
    </w:p>
    <w:p>
      <w:pPr>
        <w:pStyle w:val="Heading2"/>
      </w:pPr>
      <w:r>
        <w:t>Setup</w:t>
      </w:r>
    </w:p>
    <w:p>
      <w:r>
        <w:t>The copied IM7 pressure-vessel records are scaffolding. Replace the ply source and dimensions with the published T700/epoxy inputs; a pressure load is not an axial or torsional test.</w:t>
      </w:r>
    </w:p>
    <w:p>
      <w:pPr>
        <w:pStyle w:val="Heading2"/>
      </w:pPr>
      <w:r>
        <w:t>Tasks</w:t>
      </w:r>
    </w:p>
    <w:p>
      <w:r>
        <w:t>Read the web walkthrough and NASA/TM–2014-216635. Create a stored orthotropic ply with E1/E2/G12 = 153/10.5/8.27 GPa, ν12 = 0.30; Xt/Xc = 2760/781 MPa and Yt/Yc/S = 76.5/233/89.6 MPa. Mark these as published estimates, not qualified allowables.</w:t>
      </w:r>
    </w:p>
    <w:p>
      <w:r>
        <w:t>Assign that stored ply to all eight plies in [45/−45]4. Set tube OD/ID = 52.95/48.26 mm and total laminate wall thickness 2.345 mm (0.293125 mm per ply). Verify Geometry and laminate thickness agree.</w:t>
      </w:r>
    </w:p>
    <w:p>
      <w:r>
        <w:t>Compare Ex, Gxy and νxy with 27.7 GPa, 39.6 GPa and 0.68. Check A16 and A26 are near zero. Keep the baseline unchanged and use a copy for carpet plots or angle optimization.</w:t>
      </w:r>
    </w:p>
    <w:p>
      <w:r>
        <w:t>Create separate compatible axial tension, compression and torsion cases. Review the supported classical failure criterion and the paper’s estimated 179/176/290 MPa laminate strengths; do not claim an exact strength match from a stiffness comparison.</w:t>
      </w:r>
    </w:p>
    <w:p>
      <w:pPr>
        <w:pStyle w:val="Heading2"/>
      </w:pPr>
      <w:r>
        <w:t>Checkpoints</w:t>
      </w:r>
    </w:p>
    <w:p>
      <w:r>
        <w:t>The stack is balanced; do not silently apply symmetry and change its sequence.</w:t>
      </w:r>
    </w:p>
    <w:p>
      <w:r>
        <w:t>Material, dimensions, load basis and thickness convention must match before comparing results.</w:t>
      </w:r>
    </w:p>
    <w:p>
      <w:pPr>
        <w:pStyle w:val="Heading2"/>
      </w:pPr>
      <w:r>
        <w:t>Model limits</w:t>
      </w:r>
    </w:p>
    <w:p>
      <w:r>
        <w:t>Classical-laminate and first-ply screening. Manufacturing variation and qualification are excluded; the source describes estimated ply data.</w:t>
      </w:r>
    </w:p>
    <w:p>
      <w:pPr>
        <w:pStyle w:val="Heading2"/>
      </w:pPr>
      <w:r>
        <w:t>Recorded validation</w:t>
      </w:r>
    </w:p>
    <w:p>
      <w:r>
        <w:t>2026-09-18 — Not benchmark validated: No matched quantitative reference comparison completed for the full exercise.</w:t>
      </w:r>
    </w:p>
    <w:p>
      <w:r>
        <w:t>Classical-laminate and first-ply screening. Manufacturing variation and qualification are excluded; the source describes estimated ply data.</w:t>
      </w:r>
    </w:p>
    <w:p>
      <w:hyperlink r:id="rId41">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CLT · Linear thin-wall membrane. Shared laminate stiffness drives this membrane/CLT path. Failure criteria are independent comparisons, not blended models. Fatigue is a separate assessment.</w:t>
      </w:r>
    </w:p>
    <w:p>
      <w:hyperlink r:id="rId39">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196">
        <w:r>
          <w:rPr>
            <w:color w:val="176EA4"/>
          </w:rPr>
          <w:t>Related case study: NASA laminate design</w:t>
        </w:r>
      </w:hyperlink>
      <w:r>
        <w:t xml:space="preserve"> </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31">
        <w:r>
          <w:rPr>
            <w:color w:val="176EA4"/>
          </w:rPr>
          <w:t>Review effective properties</w:t>
        </w:r>
      </w:hyperlink>
      <w:r>
        <w:t xml:space="preserve"> </w:t>
      </w:r>
    </w:p>
    <w:p>
      <w:hyperlink r:id="rId137">
        <w:r>
          <w:rPr>
            <w:color w:val="176EA4"/>
          </w:rPr>
          <w:t>Geometry, loading and virtual tests</w:t>
        </w:r>
      </w:hyperlink>
      <w:r>
        <w:t xml:space="preserve"> </w:t>
      </w:r>
    </w:p>
    <w:p>
      <w:pPr>
        <w:keepNext/>
      </w:pPr>
      <w:hyperlink r:id="rId33">
        <w:r>
          <w:rPr>
            <w:color w:val="176EA4"/>
          </w:rPr>
          <w:t>Run and review a model</w:t>
        </w:r>
      </w:hyperlink>
      <w:r>
        <w:t xml:space="preserve"> </w:t>
      </w:r>
    </w:p>
    <w:p>
      <w:r>
        <w:t>Record the inputs, units, solver notices and checkpoint results before drawing a conclusion. When exploring a variation, change one factor at a time and compare it with the original case.</w:t>
      </w:r>
    </w:p>
    <w:p>
      <w:bookmarkStart w:id="68" w:name="chapter_68"/>
      <w:pPr>
        <w:pStyle w:val="Heading1"/>
        <w:pageBreakBefore/>
      </w:pPr>
      <w:r>
        <w:t>Thermal cycle surface-to-core lag</w:t>
      </w:r>
      <w:bookmarkEnd w:id="68"/>
    </w:p>
    <w:p>
      <w:pPr>
        <w:pStyle w:val="Caption"/>
      </w:pPr>
      <w:hyperlink r:id="rId35">
        <w:r>
          <w:rPr>
            <w:color w:val="176EA4"/>
          </w:rPr>
          <w:t>Online chapter</w:t>
        </w:r>
      </w:hyperlink>
      <w:r>
        <w:t xml:space="preserve"> </w:t>
      </w:r>
    </w:p>
    <w:p>
      <w:r>
        <w:t>Thermal processing. Laminate through-thickness slab. Models: 1D transient heat transfer, Film convection.</w:t>
      </w:r>
    </w:p>
    <w:p>
      <w:hyperlink r:id="rId295">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93" name="Picture 93" descr="CDS workflow or model illustration"/>
            <wp:cNvGraphicFramePr>
              <a:graphicFrameLocks noChangeAspect="1"/>
            </wp:cNvGraphicFramePr>
            <a:graphic>
              <a:graphicData uri="http://schemas.openxmlformats.org/drawingml/2006/picture">
                <pic:pic>
                  <pic:nvPicPr>
                    <pic:cNvPr id="0" name="rsvg-ce10134e6cedb63352304890c0b7f212e8f0a238e511b74afb95676840c7b164.png"/>
                    <pic:cNvPicPr/>
                  </pic:nvPicPr>
                  <pic:blipFill>
                    <a:blip r:embed="rId296"/>
                    <a:stretch>
                      <a:fillRect/>
                    </a:stretch>
                  </pic:blipFill>
                  <pic:spPr>
                    <a:xfrm>
                      <a:off x="0" y="0"/>
                      <a:ext cx="6217920" cy="3067645"/>
                    </a:xfrm>
                    <a:prstGeom prst="rect"/>
                  </pic:spPr>
                </pic:pic>
              </a:graphicData>
            </a:graphic>
          </wp:inline>
        </w:drawing>
      </w:r>
    </w:p>
    <w:p>
      <w:pPr>
        <w:pStyle w:val="Heading2"/>
      </w:pPr>
      <w:r>
        <w:t>Tasks</w:t>
      </w:r>
    </w:p>
    <w:p>
      <w:r>
        <w:t>Trace the thermal analysis to its laminate, Micro constituents and process cycle.</w:t>
      </w:r>
    </w:p>
    <w:p>
      <w:r>
        <w:t>Run and inspect surface and core temperatures through the cycle.</w:t>
      </w:r>
    </w:p>
    <w:p>
      <w:r>
        <w:t>Vary one film coefficient or dwell time, rerun, and compare the time required for the core to approach the target temperature.</w:t>
      </w:r>
    </w:p>
    <w:p>
      <w:pPr>
        <w:pStyle w:val="Heading2"/>
      </w:pPr>
      <w:r>
        <w:t>Checkpoints</w:t>
      </w:r>
    </w:p>
    <w:p>
      <w:r>
        <w:t>Film coefficients are explicit inputs, not automatically inferred from a boundary label.</w:t>
      </w:r>
    </w:p>
    <w:p>
      <w:r>
        <w:t>Record thermal conductivity, heat capacity and units used in the linked material models.</w:t>
      </w:r>
    </w:p>
    <w:p>
      <w:pPr>
        <w:pStyle w:val="Heading2"/>
      </w:pPr>
      <w:r>
        <w:t>Model limits</w:t>
      </w:r>
    </w:p>
    <w:p>
      <w:r>
        <w:t>One-dimensional through-thickness transport; lateral heat loss and oven airflow are not resolved. Inspect linked cure settings before interpreting reaction heating.</w:t>
      </w:r>
    </w:p>
    <w:p>
      <w:pPr>
        <w:pStyle w:val="Heading2"/>
      </w:pPr>
      <w:r>
        <w:t>Recorded validation</w:t>
      </w:r>
    </w:p>
    <w:p>
      <w:r>
        <w:t>2026-09-18 — Not benchmark validated: No matched quantitative reference comparison completed for the full exercise.</w:t>
      </w:r>
    </w:p>
    <w:p>
      <w:r>
        <w:t>One-dimensional through-thickness transport; lateral heat loss and oven airflow are not resolved. Inspect linked cure settings before interpreting reaction heating.</w:t>
      </w:r>
    </w:p>
    <w:p>
      <w:hyperlink r:id="rId297">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transient heat transfer. Needs linked laminate properties and a compatible process schedule. A linked cycle is not a solved temperature history.</w:t>
      </w:r>
    </w:p>
    <w:p>
      <w:hyperlink r:id="rId45">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Thermal to Simulation: SIMULATION selects this case and its analysis model; the case owns its applicable cycle and input references.</w:t>
      </w:r>
    </w:p>
    <w:p>
      <w:r>
        <w:t>Laminates to Thermal: Ply angles and thicknesses, stiffness, mass and ply properties.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29">
        <w:r>
          <w:rPr>
            <w:color w:val="176EA4"/>
          </w:rPr>
          <w:t>Edit material properties and units</w:t>
        </w:r>
      </w:hyperlink>
      <w:r>
        <w:t xml:space="preserve"> </w:t>
      </w:r>
    </w:p>
    <w:p>
      <w:hyperlink r:id="rId160">
        <w:r>
          <w:rPr>
            <w:color w:val="176EA4"/>
          </w:rPr>
          <w:t>Enter a process cycle and boundary conditions</w:t>
        </w:r>
      </w:hyperlink>
      <w:r>
        <w:t xml:space="preserve"> </w:t>
      </w:r>
    </w:p>
    <w:p>
      <w:hyperlink r:id="rId33">
        <w:r>
          <w:rPr>
            <w:color w:val="176EA4"/>
          </w:rPr>
          <w:t>Run and review a model</w:t>
        </w:r>
      </w:hyperlink>
      <w:r>
        <w:t xml:space="preserve"> </w:t>
      </w:r>
    </w:p>
    <w:p>
      <w:hyperlink r:id="rId32">
        <w:r>
          <w:rPr>
            <w:color w:val="176EA4"/>
          </w:rPr>
          <w:t>Connected inputs and result freshness</w:t>
        </w:r>
      </w:hyperlink>
      <w:r>
        <w:t xml:space="preserve"> </w:t>
      </w:r>
    </w:p>
    <w:p>
      <w:pPr>
        <w:keepNext/>
      </w:pPr>
      <w:hyperlink r:id="rId298">
        <w:r>
          <w:rPr>
            <w:color w:val="176EA4"/>
          </w:rPr>
          <w:t>Related case study: NASA process cure</w:t>
        </w:r>
      </w:hyperlink>
      <w:r>
        <w:t xml:space="preserve"> </w:t>
      </w:r>
    </w:p>
    <w:p>
      <w:r>
        <w:t>Record the inputs, units, solver notices and checkpoint results before drawing a conclusion. When exploring a variation, change one factor at a time and compare it with the original case.</w:t>
      </w:r>
    </w:p>
    <w:p>
      <w:bookmarkStart w:id="69" w:name="chapter_69"/>
      <w:pPr>
        <w:pStyle w:val="Heading1"/>
        <w:pageBreakBefore/>
      </w:pPr>
      <w:r>
        <w:t>Pultrusion heated die and residence time</w:t>
      </w:r>
      <w:bookmarkEnd w:id="69"/>
    </w:p>
    <w:p>
      <w:pPr>
        <w:pStyle w:val="Caption"/>
      </w:pPr>
      <w:hyperlink r:id="rId35">
        <w:r>
          <w:rPr>
            <w:color w:val="176EA4"/>
          </w:rPr>
          <w:t>Online chapter</w:t>
        </w:r>
      </w:hyperlink>
      <w:r>
        <w:t xml:space="preserve"> </w:t>
      </w:r>
    </w:p>
    <w:p>
      <w:r>
        <w:t>Pultrusion. Laminate through-thickness slab. Models: 1D pultrusion thermal cure, Kamal–Sourour cure kinetics.</w:t>
      </w:r>
    </w:p>
    <w:p>
      <w:hyperlink r:id="rId299">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94" name="Picture 94" descr="CDS workflow or model illustration"/>
            <wp:cNvGraphicFramePr>
              <a:graphicFrameLocks noChangeAspect="1"/>
            </wp:cNvGraphicFramePr>
            <a:graphic>
              <a:graphicData uri="http://schemas.openxmlformats.org/drawingml/2006/picture">
                <pic:pic>
                  <pic:nvPicPr>
                    <pic:cNvPr id="0" name="rsvg-73d0a5da28fe022a8643546b5c54d3cc256c832fbdbefd1817b770910a8b6369.png"/>
                    <pic:cNvPicPr/>
                  </pic:nvPicPr>
                  <pic:blipFill>
                    <a:blip r:embed="rId300"/>
                    <a:stretch>
                      <a:fillRect/>
                    </a:stretch>
                  </pic:blipFill>
                  <pic:spPr>
                    <a:xfrm>
                      <a:off x="0" y="0"/>
                      <a:ext cx="6217920" cy="3067645"/>
                    </a:xfrm>
                    <a:prstGeom prst="rect"/>
                  </pic:spPr>
                </pic:pic>
              </a:graphicData>
            </a:graphic>
          </wp:inline>
        </w:drawing>
      </w:r>
    </w:p>
    <w:p>
      <w:pPr>
        <w:pStyle w:val="Heading2"/>
      </w:pPr>
      <w:r>
        <w:t>Tasks</w:t>
      </w:r>
    </w:p>
    <w:p>
      <w:r>
        <w:t>In SIMULATION, select the thermal case and inspect its linked laminate. In the case Initial conditions, identify pulling velocity 0.1 m/min and inlet temperature 23°C; the calculated outlet is not a prescribed material temperature.</w:t>
      </w:r>
    </w:p>
    <w:p>
      <w:r>
        <w:t>In the thermal case cycle, inspect the 1 m die with prescribed 150°C upper/lower boundaries. Switch Length to Time and back using this case’s velocity; the endpoint should be 10 min or 1 m.</w:t>
      </w:r>
    </w:p>
    <w:p>
      <w:r>
        <w:t>Run and inspect surface/core temperature, cure, axial-position cursor, residence time and balanced inlet/outlet mass flux. Reaction heating uses the linked resin data.</w:t>
      </w:r>
    </w:p>
    <w:p>
      <w:r>
        <w:t>Keep Length selected, double pulling velocity to 0.2 m/min and rerun. Residence time halves to 5 min; compare the outlet state rather than assuming complete cure.</w:t>
      </w:r>
    </w:p>
    <w:p>
      <w:pPr>
        <w:pStyle w:val="Heading2"/>
      </w:pPr>
      <w:r>
        <w:t>Checkpoints</w:t>
      </w:r>
    </w:p>
    <w:p>
      <w:r>
        <w:t>At 0.1 m/min, 1 m corresponds to 10 min.</w:t>
      </w:r>
    </w:p>
    <w:p>
      <w:r>
        <w:t>Mass flux in equals mass flux out and is reported per unit cross-sectional area, not total mass flow. Increasing speed increases flux and reduces residence time.</w:t>
      </w:r>
    </w:p>
    <w:p>
      <w:r>
        <w:t>Repeat with more thickness nodes and a shorter output interval to assess discretization sensitivity; do not infer a pass from the exercise completing.</w:t>
      </w:r>
    </w:p>
    <w:p>
      <w:pPr>
        <w:pStyle w:val="Heading2"/>
      </w:pPr>
      <w:r>
        <w:t>Model limits</w:t>
      </w:r>
    </w:p>
    <w:p>
      <w: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pPr>
        <w:pStyle w:val="Heading2"/>
      </w:pPr>
      <w:r>
        <w:t>Recorded validation</w:t>
      </w:r>
    </w:p>
    <w:p>
      <w:r>
        <w:t>2026-09-18 — Not benchmark validated: No matched quantitative reference comparison completed for the full exercise.</w:t>
      </w:r>
    </w:p>
    <w:p>
      <w: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hyperlink r:id="rId301">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pultrusion thermal cure. Needs linked laminate properties and a compatible process schedule. A linked cycle is not a solved temperature history.</w:t>
      </w:r>
    </w:p>
    <w:p>
      <w:hyperlink r:id="rId45">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Thermal to Simulation: SIMULATION selects this case and its analysis model; the case owns its applicable cycle and input references.</w:t>
      </w:r>
    </w:p>
    <w:p>
      <w:r>
        <w:t>Laminates to Thermal: Ply angles and thicknesses, stiffness, mass and ply properties.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29">
        <w:r>
          <w:rPr>
            <w:color w:val="176EA4"/>
          </w:rPr>
          <w:t>Edit material properties and units</w:t>
        </w:r>
      </w:hyperlink>
      <w:r>
        <w:t xml:space="preserve"> </w:t>
      </w:r>
    </w:p>
    <w:p>
      <w:hyperlink r:id="rId160">
        <w:r>
          <w:rPr>
            <w:color w:val="176EA4"/>
          </w:rPr>
          <w:t>Enter a process cycle and boundary conditions</w:t>
        </w:r>
      </w:hyperlink>
      <w:r>
        <w:t xml:space="preserve"> </w:t>
      </w:r>
    </w:p>
    <w:p>
      <w:hyperlink r:id="rId33">
        <w:r>
          <w:rPr>
            <w:color w:val="176EA4"/>
          </w:rPr>
          <w:t>Run and review a model</w:t>
        </w:r>
      </w:hyperlink>
      <w:r>
        <w:t xml:space="preserve"> </w:t>
      </w:r>
    </w:p>
    <w:p>
      <w:hyperlink r:id="rId161">
        <w:r>
          <w:rPr>
            <w:color w:val="176EA4"/>
          </w:rPr>
          <w:t>Cure exotherm and evolving modulus</w:t>
        </w:r>
      </w:hyperlink>
      <w:r>
        <w:t xml:space="preserve"> </w:t>
      </w:r>
    </w:p>
    <w:p>
      <w:hyperlink r:id="rId32">
        <w:r>
          <w:rPr>
            <w:color w:val="176EA4"/>
          </w:rPr>
          <w:t>Connected inputs and result freshness</w:t>
        </w:r>
      </w:hyperlink>
      <w:r>
        <w:t xml:space="preserve"> </w:t>
      </w:r>
    </w:p>
    <w:p>
      <w:pPr>
        <w:keepNext/>
      </w:pPr>
      <w:hyperlink r:id="rId298">
        <w:r>
          <w:rPr>
            <w:color w:val="176EA4"/>
          </w:rPr>
          <w:t>Related case study: NASA process cure</w:t>
        </w:r>
      </w:hyperlink>
      <w:r>
        <w:t xml:space="preserve"> </w:t>
      </w:r>
    </w:p>
    <w:p>
      <w:r>
        <w:t>Record the inputs, units, solver notices and checkpoint results before drawing a conclusion. When exploring a variation, change one factor at a time and compare it with the original case.</w:t>
      </w:r>
    </w:p>
    <w:p>
      <w:bookmarkStart w:id="70" w:name="chapter_70"/>
      <w:pPr>
        <w:pStyle w:val="Heading1"/>
        <w:pageBreakBefore/>
      </w:pPr>
      <w:r>
        <w:t>Pultrusion multi-zone die and pulling speed</w:t>
      </w:r>
      <w:bookmarkEnd w:id="70"/>
    </w:p>
    <w:p>
      <w:pPr>
        <w:pStyle w:val="Caption"/>
      </w:pPr>
      <w:hyperlink r:id="rId35">
        <w:r>
          <w:rPr>
            <w:color w:val="176EA4"/>
          </w:rPr>
          <w:t>Online chapter</w:t>
        </w:r>
      </w:hyperlink>
      <w:r>
        <w:t xml:space="preserve"> </w:t>
      </w:r>
    </w:p>
    <w:p>
      <w:r>
        <w:t>Pultrusion. Laminate through-thickness slab. Models: 1D pultrusion thermal cure, Kamal–Sourour cure kinetics.</w:t>
      </w:r>
    </w:p>
    <w:p>
      <w:hyperlink r:id="rId302">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95" name="Picture 95" descr="CDS workflow or model illustration"/>
            <wp:cNvGraphicFramePr>
              <a:graphicFrameLocks noChangeAspect="1"/>
            </wp:cNvGraphicFramePr>
            <a:graphic>
              <a:graphicData uri="http://schemas.openxmlformats.org/drawingml/2006/picture">
                <pic:pic>
                  <pic:nvPicPr>
                    <pic:cNvPr id="0" name="rsvg-3e2b83fc5fb2703b8547ee2d2ecc527886c880bbec890edec442952220a0cb47.png"/>
                    <pic:cNvPicPr/>
                  </pic:nvPicPr>
                  <pic:blipFill>
                    <a:blip r:embed="rId303"/>
                    <a:stretch>
                      <a:fillRect/>
                    </a:stretch>
                  </pic:blipFill>
                  <pic:spPr>
                    <a:xfrm>
                      <a:off x="0" y="0"/>
                      <a:ext cx="6217920" cy="3067645"/>
                    </a:xfrm>
                    <a:prstGeom prst="rect"/>
                  </pic:spPr>
                </pic:pic>
              </a:graphicData>
            </a:graphic>
          </wp:inline>
        </w:drawing>
      </w:r>
    </w:p>
    <w:p>
      <w:pPr>
        <w:pStyle w:val="Heading2"/>
      </w:pPr>
      <w:r>
        <w:t>Tasks</w:t>
      </w:r>
    </w:p>
    <w:p>
      <w:r>
        <w:t>In SIMULATION, select the thermal case and inspect its linked laminate. In the case Initial conditions, identify pulling velocity 0.1 m/min and inlet temperature 23°C; the calculated outlet is not a prescribed material temperature.</w:t>
      </w:r>
    </w:p>
    <w:p>
      <w:r>
        <w:t>In the thermal case cycle, inspect the 1.6 m preheat, cure and cooling stations. Boundary temperatures are interpolated between stations; they are not the material temperatures.</w:t>
      </w:r>
    </w:p>
    <w:p>
      <w:r>
        <w:t>Run and inspect surface/core temperature, cure, axial-position cursor, residence time and balanced inlet/outlet mass flux. Reaction heating uses the linked resin data.</w:t>
      </w:r>
    </w:p>
    <w:p>
      <w:r>
        <w:t>Keep Length selected and compare 0.05, 0.1 and 0.2 m/min. Record outlet core temperature and cure, and compare residence times 32, 16 and 8 min.</w:t>
      </w:r>
    </w:p>
    <w:p>
      <w:pPr>
        <w:pStyle w:val="Heading2"/>
      </w:pPr>
      <w:r>
        <w:t>Checkpoints</w:t>
      </w:r>
    </w:p>
    <w:p>
      <w:r>
        <w:t>At 0.1 m/min, 1.6 m corresponds to 16 min.</w:t>
      </w:r>
    </w:p>
    <w:p>
      <w:r>
        <w:t>Mass flux in equals mass flux out and is reported per unit cross-sectional area, not total mass flow. Increasing speed increases flux and reduces residence time.</w:t>
      </w:r>
    </w:p>
    <w:p>
      <w:r>
        <w:t>Repeat with more thickness nodes and a shorter output interval to assess discretization sensitivity; do not infer a pass from the exercise completing.</w:t>
      </w:r>
    </w:p>
    <w:p>
      <w:pPr>
        <w:pStyle w:val="Heading2"/>
      </w:pPr>
      <w:r>
        <w:t>Model limits</w:t>
      </w:r>
    </w:p>
    <w:p>
      <w: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pPr>
        <w:pStyle w:val="Heading2"/>
      </w:pPr>
      <w:r>
        <w:t>Recorded validation</w:t>
      </w:r>
    </w:p>
    <w:p>
      <w:r>
        <w:t>2026-09-18 — Not benchmark validated: No matched quantitative reference comparison completed for the full exercise.</w:t>
      </w:r>
    </w:p>
    <w:p>
      <w: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hyperlink r:id="rId304">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pultrusion thermal cure. Needs linked laminate properties and a compatible process schedule. A linked cycle is not a solved temperature history.</w:t>
      </w:r>
    </w:p>
    <w:p>
      <w:hyperlink r:id="rId45">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Thermal to Simulation: SIMULATION selects this case and its analysis model; the case owns its applicable cycle and input references.</w:t>
      </w:r>
    </w:p>
    <w:p>
      <w:r>
        <w:t>Laminates to Thermal: Ply angles and thicknesses, stiffness, mass and ply properties.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29">
        <w:r>
          <w:rPr>
            <w:color w:val="176EA4"/>
          </w:rPr>
          <w:t>Edit material properties and units</w:t>
        </w:r>
      </w:hyperlink>
      <w:r>
        <w:t xml:space="preserve"> </w:t>
      </w:r>
    </w:p>
    <w:p>
      <w:hyperlink r:id="rId160">
        <w:r>
          <w:rPr>
            <w:color w:val="176EA4"/>
          </w:rPr>
          <w:t>Enter a process cycle and boundary conditions</w:t>
        </w:r>
      </w:hyperlink>
      <w:r>
        <w:t xml:space="preserve"> </w:t>
      </w:r>
    </w:p>
    <w:p>
      <w:hyperlink r:id="rId33">
        <w:r>
          <w:rPr>
            <w:color w:val="176EA4"/>
          </w:rPr>
          <w:t>Run and review a model</w:t>
        </w:r>
      </w:hyperlink>
      <w:r>
        <w:t xml:space="preserve"> </w:t>
      </w:r>
    </w:p>
    <w:p>
      <w:hyperlink r:id="rId161">
        <w:r>
          <w:rPr>
            <w:color w:val="176EA4"/>
          </w:rPr>
          <w:t>Cure exotherm and evolving modulus</w:t>
        </w:r>
      </w:hyperlink>
      <w:r>
        <w:t xml:space="preserve"> </w:t>
      </w:r>
    </w:p>
    <w:p>
      <w:hyperlink r:id="rId32">
        <w:r>
          <w:rPr>
            <w:color w:val="176EA4"/>
          </w:rPr>
          <w:t>Connected inputs and result freshness</w:t>
        </w:r>
      </w:hyperlink>
      <w:r>
        <w:t xml:space="preserve"> </w:t>
      </w:r>
    </w:p>
    <w:p>
      <w:pPr>
        <w:keepNext/>
      </w:pPr>
      <w:hyperlink r:id="rId298">
        <w:r>
          <w:rPr>
            <w:color w:val="176EA4"/>
          </w:rPr>
          <w:t>Related case study: NASA process cure</w:t>
        </w:r>
      </w:hyperlink>
      <w:r>
        <w:t xml:space="preserve"> </w:t>
      </w:r>
    </w:p>
    <w:p>
      <w:r>
        <w:t>Record the inputs, units, solver notices and checkpoint results before drawing a conclusion. When exploring a variation, change one factor at a time and compare it with the original case.</w:t>
      </w:r>
    </w:p>
    <w:p>
      <w:bookmarkStart w:id="71" w:name="chapter_71"/>
      <w:pPr>
        <w:pStyle w:val="Heading1"/>
        <w:pageBreakBefore/>
      </w:pPr>
      <w:r>
        <w:t>UV cure exposure penetration and exotherm</w:t>
      </w:r>
      <w:bookmarkEnd w:id="71"/>
    </w:p>
    <w:p>
      <w:pPr>
        <w:pStyle w:val="Caption"/>
      </w:pPr>
      <w:hyperlink r:id="rId35">
        <w:r>
          <w:rPr>
            <w:color w:val="176EA4"/>
          </w:rPr>
          <w:t>Online chapter</w:t>
        </w:r>
      </w:hyperlink>
      <w:r>
        <w:t xml:space="preserve"> </w:t>
      </w:r>
    </w:p>
    <w:p>
      <w:r>
        <w:t>UV curing. Laminate through-thickness slab. Models: UV intensity-dependent cure, 1D transient heat transfer, Optical attenuation.</w:t>
      </w:r>
    </w:p>
    <w:p>
      <w:hyperlink r:id="rId305">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96" name="Picture 96" descr="CDS workflow or model illustration"/>
            <wp:cNvGraphicFramePr>
              <a:graphicFrameLocks noChangeAspect="1"/>
            </wp:cNvGraphicFramePr>
            <a:graphic>
              <a:graphicData uri="http://schemas.openxmlformats.org/drawingml/2006/picture">
                <pic:pic>
                  <pic:nvPicPr>
                    <pic:cNvPr id="0" name="rsvg-840fbe5f0070bf576b0ddfceb08a21c97a8c57ac9966b14706c33cbada928762.png"/>
                    <pic:cNvPicPr/>
                  </pic:nvPicPr>
                  <pic:blipFill>
                    <a:blip r:embed="rId306"/>
                    <a:stretch>
                      <a:fillRect/>
                    </a:stretch>
                  </pic:blipFill>
                  <pic:spPr>
                    <a:xfrm>
                      <a:off x="0" y="0"/>
                      <a:ext cx="6217920" cy="3067645"/>
                    </a:xfrm>
                    <a:prstGeom prst="rect"/>
                  </pic:spPr>
                </pic:pic>
              </a:graphicData>
            </a:graphic>
          </wp:inline>
        </w:drawing>
      </w:r>
    </w:p>
    <w:p>
      <w:pPr>
        <w:pStyle w:val="Heading2"/>
      </w:pPr>
      <w:r>
        <w:t>Tasks</w:t>
      </w:r>
    </w:p>
    <w:p>
      <w:r>
        <w:t>Trace the hypothetical matrix to its UV cure model and open the thermal case containing the 365 nm UV exposure cycle. Review the illustrative optical, kinetic and reaction-enthalpy inputs before running.</w:t>
      </w:r>
    </w:p>
    <w:p>
      <w:r>
        <w:t>Run the supplied 60 s upper-surface exposure followed by cooling to 120 s. Compare intensity, dose, degree of cure, absorbed UV heating and reaction heating through thickness.</w:t>
      </w:r>
    </w:p>
    <w:p>
      <w:r>
        <w:t>Change upper intensity from 1000 to 500 W/m², rerun and compare surface/core cure. Restore 1000 W/m² and add 1000 W/m² lower illumination; compare two-sided penetration.</w:t>
      </w:r>
    </w:p>
    <w:p>
      <w:r>
        <w:t>Halve UV maximum time step from 0.1 to 0.05 s and increase thickness nodes. Check convergence and note that this model does not advance cure in the dark.</w:t>
      </w:r>
    </w:p>
    <w:p>
      <w:pPr>
        <w:pStyle w:val="Heading2"/>
      </w:pPr>
      <w:r>
        <w:t>Checkpoints</w:t>
      </w:r>
    </w:p>
    <w:p>
      <w:r>
        <w:t>UV exposure timing is in seconds; the thermal boundary table is in minutes. Wavelength must match the linked UV model.</w:t>
      </w:r>
    </w:p>
    <w:p>
      <w:r>
        <w:t>Low core conversion is an outcome to investigate, not a successful cure pass. Inspect depth profiles, not only surface cure.</w:t>
      </w:r>
    </w:p>
    <w:p>
      <w:r>
        <w:t>Absorbed optical heating and resin reaction exotherm are separate heat sources; scattering loss is not converted to heat.</w:t>
      </w:r>
    </w:p>
    <w:p>
      <w:pPr>
        <w:pStyle w:val="Heading2"/>
      </w:pPr>
      <w:r>
        <w:t>Model limits</w:t>
      </w:r>
    </w:p>
    <w:p>
      <w:r>
        <w:t>Hypothetical UV-compatible teaching composite: inherited T700/epoxy elastic and transport values do not establish commercial resin UV compatibility or carbon-composite transparency. Effective optics, kinetics and enthalpy require calibration. No oxygen transport, shadowing, multiple scattering or radical dark cure. Use Run, not UV process optimization.</w:t>
      </w:r>
    </w:p>
    <w:p>
      <w:pPr>
        <w:pStyle w:val="Heading2"/>
      </w:pPr>
      <w:r>
        <w:t>Recorded validation</w:t>
      </w:r>
    </w:p>
    <w:p>
      <w:r>
        <w:t>2026-09-18 — Not benchmark validated: No matched quantitative reference comparison completed for the full exercise.</w:t>
      </w:r>
    </w:p>
    <w:p>
      <w:r>
        <w:t>Hypothetical UV-compatible teaching composite: inherited T700/epoxy elastic and transport values do not establish commercial resin UV compatibility or carbon-composite transparency. Effective optics, kinetics and enthalpy require calibration. No oxygen transport, shadowing, multiple scattering or radical dark cure. Use Run, not UV process optimization.</w:t>
      </w:r>
    </w:p>
    <w:p>
      <w:hyperlink r:id="rId307">
        <w:r>
          <w:rPr>
            <w:color w:val="176EA4"/>
          </w:rPr>
          <w:t>Validation evidence and tested inputs</w:t>
        </w:r>
      </w:hyperlink>
      <w:r>
        <w:t xml:space="preserve"> </w:t>
      </w:r>
    </w:p>
    <w:p>
      <w:pPr>
        <w:pStyle w:val="Heading2"/>
      </w:pPr>
      <w:r>
        <w:t>Connected models and submodels</w:t>
      </w:r>
    </w:p>
    <w:p>
      <w:r>
        <w:t>UV intensity-dependent cure.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coefficients only; not measured properties of any commercial resin. Calibrate kinetics and effective composite optics at the selected wavelength and fiber content.</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transient heat transfer. Needs linked laminate properties and a compatible process schedule. A linked cycle is not a solved temperature history.</w:t>
      </w:r>
    </w:p>
    <w:p>
      <w:hyperlink r:id="rId45">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Thermal to Simulation: SIMULATION selects this case and its analysis model; the case owns its applicable cycle and input references.</w:t>
      </w:r>
    </w:p>
    <w:p>
      <w:r>
        <w:t>Laminates to Thermal: Ply angles and thicknesses, stiffness, mass and ply properties.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29">
        <w:r>
          <w:rPr>
            <w:color w:val="176EA4"/>
          </w:rPr>
          <w:t>Edit material properties and units</w:t>
        </w:r>
      </w:hyperlink>
      <w:r>
        <w:t xml:space="preserve"> </w:t>
      </w:r>
    </w:p>
    <w:p>
      <w:hyperlink r:id="rId161">
        <w:r>
          <w:rPr>
            <w:color w:val="176EA4"/>
          </w:rPr>
          <w:t>Cure exotherm and evolving modulus</w:t>
        </w:r>
      </w:hyperlink>
      <w:r>
        <w:t xml:space="preserve"> </w:t>
      </w:r>
    </w:p>
    <w:p>
      <w:hyperlink r:id="rId160">
        <w:r>
          <w:rPr>
            <w:color w:val="176EA4"/>
          </w:rPr>
          <w:t>Enter a process cycle and boundary conditions</w:t>
        </w:r>
      </w:hyperlink>
      <w:r>
        <w:t xml:space="preserve"> </w:t>
      </w:r>
    </w:p>
    <w:p>
      <w:hyperlink r:id="rId33">
        <w:r>
          <w:rPr>
            <w:color w:val="176EA4"/>
          </w:rPr>
          <w:t>Run and review a model</w:t>
        </w:r>
      </w:hyperlink>
      <w:r>
        <w:t xml:space="preserve"> </w:t>
      </w:r>
    </w:p>
    <w:p>
      <w:hyperlink r:id="rId32">
        <w:r>
          <w:rPr>
            <w:color w:val="176EA4"/>
          </w:rPr>
          <w:t>Connected inputs and result freshness</w:t>
        </w:r>
      </w:hyperlink>
      <w:r>
        <w:t xml:space="preserve"> </w:t>
      </w:r>
    </w:p>
    <w:p>
      <w:pPr>
        <w:keepNext/>
      </w:pPr>
      <w:hyperlink r:id="rId298">
        <w:r>
          <w:rPr>
            <w:color w:val="176EA4"/>
          </w:rPr>
          <w:t>Related case study: NASA process cure</w:t>
        </w:r>
      </w:hyperlink>
      <w:r>
        <w:t xml:space="preserve"> </w:t>
      </w:r>
    </w:p>
    <w:p>
      <w:r>
        <w:t>Record the inputs, units, solver notices and checkpoint results before drawing a conclusion. When exploring a variation, change one factor at a time and compare it with the original case.</w:t>
      </w:r>
    </w:p>
    <w:p>
      <w:bookmarkStart w:id="72" w:name="chapter_72"/>
      <w:pPr>
        <w:pStyle w:val="Heading1"/>
        <w:pageBreakBefore/>
      </w:pPr>
      <w:r>
        <w:t>Moisture conditioning and diffusion</w:t>
      </w:r>
      <w:bookmarkEnd w:id="72"/>
    </w:p>
    <w:p>
      <w:pPr>
        <w:pStyle w:val="Caption"/>
      </w:pPr>
      <w:hyperlink r:id="rId35">
        <w:r>
          <w:rPr>
            <w:color w:val="176EA4"/>
          </w:rPr>
          <w:t>Online chapter</w:t>
        </w:r>
      </w:hyperlink>
      <w:r>
        <w:t xml:space="preserve"> </w:t>
      </w:r>
    </w:p>
    <w:p>
      <w:r>
        <w:t>Environmental conditioning. Laminate through-thickness slab. Models: 1D transient moisture diffusion.</w:t>
      </w:r>
    </w:p>
    <w:p>
      <w:hyperlink r:id="rId308">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97" name="Picture 97" descr="CDS workflow or model illustration"/>
            <wp:cNvGraphicFramePr>
              <a:graphicFrameLocks noChangeAspect="1"/>
            </wp:cNvGraphicFramePr>
            <a:graphic>
              <a:graphicData uri="http://schemas.openxmlformats.org/drawingml/2006/picture">
                <pic:pic>
                  <pic:nvPicPr>
                    <pic:cNvPr id="0" name="rsvg-d8643f9f979ab5c47ae656c7f20c999fcec6bbd1f453aad97f65e2cfc98a23dc.png"/>
                    <pic:cNvPicPr/>
                  </pic:nvPicPr>
                  <pic:blipFill>
                    <a:blip r:embed="rId309"/>
                    <a:stretch>
                      <a:fillRect/>
                    </a:stretch>
                  </pic:blipFill>
                  <pic:spPr>
                    <a:xfrm>
                      <a:off x="0" y="0"/>
                      <a:ext cx="6217920" cy="3067645"/>
                    </a:xfrm>
                    <a:prstGeom prst="rect"/>
                  </pic:spPr>
                </pic:pic>
              </a:graphicData>
            </a:graphic>
          </wp:inline>
        </w:drawing>
      </w:r>
    </w:p>
    <w:p>
      <w:pPr>
        <w:pStyle w:val="Heading2"/>
      </w:pPr>
      <w:r>
        <w:t>Tasks</w:t>
      </w:r>
    </w:p>
    <w:p>
      <w:r>
        <w:t>Inspect initial moisture, the conditioning cycle, saturation and diffusivity inputs.</w:t>
      </w:r>
    </w:p>
    <w:p>
      <w:r>
        <w:t>Run and compare surface and core moisture histories.</w:t>
      </w:r>
    </w:p>
    <w:p>
      <w:r>
        <w:t>Increase conditioning duration and rerun; explain why core uptake lags the boundary.</w:t>
      </w:r>
    </w:p>
    <w:p>
      <w:pPr>
        <w:pStyle w:val="Heading2"/>
      </w:pPr>
      <w:r>
        <w:t>Checkpoints</w:t>
      </w:r>
    </w:p>
    <w:p>
      <w:r>
        <w:t>Distinguish humidity boundary inputs from moisture concentration inside the material.</w:t>
      </w:r>
    </w:p>
    <w:p>
      <w:r>
        <w:t>Check units and the linked diffusivity before comparing time scales.</w:t>
      </w:r>
    </w:p>
    <w:p>
      <w:pPr>
        <w:pStyle w:val="Heading2"/>
      </w:pPr>
      <w:r>
        <w:t>Model limits</w:t>
      </w:r>
    </w:p>
    <w:p>
      <w:r>
        <w:t>One-dimensional Fickian transport with the selected constitutive inputs, not a prediction of chemical degradation.</w:t>
      </w:r>
    </w:p>
    <w:p>
      <w:pPr>
        <w:pStyle w:val="Heading2"/>
      </w:pPr>
      <w:r>
        <w:t>Recorded validation</w:t>
      </w:r>
    </w:p>
    <w:p>
      <w:r>
        <w:t>2026-09-18 — Not benchmark validated: No matched quantitative reference comparison completed for the full exercise.</w:t>
      </w:r>
    </w:p>
    <w:p>
      <w:r>
        <w:t>One-dimensional Fickian transport with the selected constitutive inputs, not a prediction of chemical degradation.</w:t>
      </w:r>
    </w:p>
    <w:p>
      <w:hyperlink r:id="rId310">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transient moisture diffusion. Needs its own moisture boundary conditions and linked laminate. A separate thermal analysis can share the simulation.</w:t>
      </w:r>
    </w:p>
    <w:p>
      <w:hyperlink r:id="rId311">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Moisture to Simulation: SIMULATION selects this case and its analysis model; the case owns its applicable cycle and input references.</w:t>
      </w:r>
    </w:p>
    <w:p>
      <w:r>
        <w:t>Laminates to Moisture: Ply angles and thicknesses, stiffness, mass and ply properties.</w:t>
      </w:r>
    </w:p>
    <w:p>
      <w:r>
        <w:t>Simulation to Optimization: Linked inputs and current-property response for candidate evaluation.</w:t>
      </w:r>
    </w:p>
    <w:p>
      <w:pPr>
        <w:pStyle w:val="Heading2"/>
      </w:pPr>
      <w:r>
        <w:t>References</w:t>
      </w:r>
    </w:p>
    <w:p>
      <w:hyperlink r:id="rId160">
        <w:r>
          <w:rPr>
            <w:color w:val="176EA4"/>
          </w:rPr>
          <w:t>Enter a process cycle and boundary conditions</w:t>
        </w:r>
      </w:hyperlink>
      <w:r>
        <w:t xml:space="preserve"> </w:t>
      </w:r>
    </w:p>
    <w:p>
      <w:hyperlink r:id="rId29">
        <w:r>
          <w:rPr>
            <w:color w:val="176EA4"/>
          </w:rPr>
          <w:t>Edit material properties and units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73" w:name="chapter_73"/>
      <w:pPr>
        <w:pStyle w:val="Heading1"/>
        <w:pageBreakBefore/>
      </w:pPr>
      <w:r>
        <w:t>Bonded joint two adherends and adhesive</w:t>
      </w:r>
      <w:bookmarkEnd w:id="73"/>
    </w:p>
    <w:p>
      <w:pPr>
        <w:pStyle w:val="Caption"/>
      </w:pPr>
      <w:hyperlink r:id="rId35">
        <w:r>
          <w:rPr>
            <w:color w:val="176EA4"/>
          </w:rPr>
          <w:t>Online chapter</w:t>
        </w:r>
      </w:hyperlink>
      <w:r>
        <w:t xml:space="preserve"> </w:t>
      </w:r>
    </w:p>
    <w:p>
      <w:r>
        <w:t>Adhesive lap joint. Single-lap joint. Models: 2D x-z plane strain, Linear elasticity.</w:t>
      </w:r>
    </w:p>
    <w:p>
      <w:hyperlink r:id="rId312">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98" name="Picture 98" descr="CDS workflow or model illustration"/>
            <wp:cNvGraphicFramePr>
              <a:graphicFrameLocks noChangeAspect="1"/>
            </wp:cNvGraphicFramePr>
            <a:graphic>
              <a:graphicData uri="http://schemas.openxmlformats.org/drawingml/2006/picture">
                <pic:pic>
                  <pic:nvPicPr>
                    <pic:cNvPr id="0" name="rsvg-9defab83ad0d5663efc43462491fe02b224839060ed05eab07ad44dddedcea01.png"/>
                    <pic:cNvPicPr/>
                  </pic:nvPicPr>
                  <pic:blipFill>
                    <a:blip r:embed="rId313"/>
                    <a:stretch>
                      <a:fillRect/>
                    </a:stretch>
                  </pic:blipFill>
                  <pic:spPr>
                    <a:xfrm>
                      <a:off x="0" y="0"/>
                      <a:ext cx="6217920" cy="3067645"/>
                    </a:xfrm>
                    <a:prstGeom prst="rect"/>
                  </pic:spPr>
                </pic:pic>
              </a:graphicData>
            </a:graphic>
          </wp:inline>
        </w:drawing>
      </w:r>
    </w:p>
    <w:p>
      <w:pPr>
        <w:pStyle w:val="Heading2"/>
      </w:pPr>
      <w:r>
        <w:t>Tasks</w:t>
      </w:r>
    </w:p>
    <w:p>
      <w:r>
        <w:t>Trace lower laminate, upper laminate and adhesive selections from Simulation to Geometry.</w:t>
      </w:r>
    </w:p>
    <w:p>
      <w:r>
        <w:t>Run and inspect the adherend and adhesive stress/strain fields.</w:t>
      </w:r>
    </w:p>
    <w:p>
      <w:r>
        <w:t>Vary overlap or bondline thickness, then refine the available mesh controls to assess peak-stress sensitivity.</w:t>
      </w:r>
    </w:p>
    <w:p>
      <w:pPr>
        <w:pStyle w:val="Heading2"/>
      </w:pPr>
      <w:r>
        <w:t>Checkpoints</w:t>
      </w:r>
    </w:p>
    <w:p>
      <w:r>
        <w:t>Check adhesive stiffness inputs and their material assumptions.</w:t>
      </w:r>
    </w:p>
    <w:p>
      <w:r>
        <w:t>Compare field shape and displacement as well as a single peak value.</w:t>
      </w:r>
    </w:p>
    <w:p>
      <w:pPr>
        <w:pStyle w:val="Heading2"/>
      </w:pPr>
      <w:r>
        <w:t>Model limits</w:t>
      </w:r>
    </w:p>
    <w:p>
      <w:r>
        <w:t>Perfectly bonded linear-elastic interfaces. Mesh-sensitive edge peaks are not joint strength, debonding or damage predictions.</w:t>
      </w:r>
    </w:p>
    <w:p>
      <w:pPr>
        <w:pStyle w:val="Heading2"/>
      </w:pPr>
      <w:r>
        <w:t>Recorded validation</w:t>
      </w:r>
    </w:p>
    <w:p>
      <w:r>
        <w:t>2026-09-18 — Not benchmark validated: No matched quantitative reference comparison completed for the full exercise.</w:t>
      </w:r>
    </w:p>
    <w:p>
      <w:r>
        <w:t>Perfectly bonded linear-elastic interfaces. Mesh-sensitive edge peaks are not joint strength, debonding or damage predictions.</w:t>
      </w:r>
    </w:p>
    <w:p>
      <w:hyperlink r:id="rId314">
        <w:r>
          <w:rPr>
            <w:color w:val="176EA4"/>
          </w:rPr>
          <w:t>Validation evidence and tested inputs</w:t>
        </w:r>
      </w:hyperlink>
      <w:r>
        <w:t xml:space="preserve"> </w:t>
      </w:r>
    </w:p>
    <w:p>
      <w:pPr>
        <w:pStyle w:val="Heading2"/>
      </w:pPr>
      <w:r>
        <w:t>Connected models and submodels</w:t>
      </w:r>
    </w:p>
    <w:p>
      <w:r>
        <w:t>FM73 published cure kinetics (reference only).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Reference located; coefficients require verification. No generic epoxy defaults are substituted.</w:t>
      </w:r>
    </w:p>
    <w:p>
      <w:r>
        <w:t>Single-lap x-z plane strain. Selected formulation for this source record. Changing it requires rerunning affected simulations.</w:t>
      </w:r>
    </w:p>
    <w:p>
      <w:hyperlink r:id="rId71">
        <w:r>
          <w:rPr>
            <w:color w:val="176EA4"/>
          </w:rPr>
          <w:t>Theory and assumptions</w:t>
        </w:r>
      </w:hyperlink>
      <w:r>
        <w:t xml:space="preserve"> </w:t>
      </w:r>
    </w:p>
    <w:p>
      <w:r>
        <w:t>Perfectly bonded elastic joint. This formulation does not use cohesive crack growth.</w:t>
      </w:r>
    </w:p>
    <w:p>
      <w:pPr>
        <w:pStyle w:val="Heading2"/>
      </w:pPr>
      <w:r>
        <w:t>Data between modules</w:t>
      </w:r>
    </w:p>
    <w:p>
      <w:r>
        <w:t>Materials to Laminates: Stored ply stiffness, strength, density and expansion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Materials to Mechanical: Constituent stiffness, strength, density and thermal / moisture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137">
        <w:r>
          <w:rPr>
            <w:color w:val="176EA4"/>
          </w:rPr>
          <w:t>Geometry, loading and virtual tests</w:t>
        </w:r>
      </w:hyperlink>
      <w:r>
        <w:t xml:space="preserve"> </w:t>
      </w:r>
    </w:p>
    <w:p>
      <w:hyperlink r:id="rId236">
        <w:r>
          <w:rPr>
            <w:color w:val="176EA4"/>
          </w:rPr>
          <w:t>Through-thickness section analysis and assumptions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74" w:name="chapter_74"/>
      <w:pPr>
        <w:pStyle w:val="Heading1"/>
        <w:pageBreakBefore/>
      </w:pPr>
      <w:r>
        <w:t>NASA AS4/3501-6 pressure-cylinder screening</w:t>
      </w:r>
      <w:bookmarkEnd w:id="74"/>
    </w:p>
    <w:p>
      <w:pPr>
        <w:pStyle w:val="Caption"/>
      </w:pPr>
      <w:hyperlink r:id="rId35">
        <w:r>
          <w:rPr>
            <w:color w:val="176EA4"/>
          </w:rPr>
          <w:t>Online chapter</w:t>
        </w:r>
      </w:hyperlink>
      <w:r>
        <w:t xml:space="preserve"> </w:t>
      </w:r>
    </w:p>
    <w:p>
      <w:r>
        <w:t>Pressure-vessel damage-tolerance context. 305 mm circular cylinder. Models: Thin-wall membrane, Classical laminate theory, Classical first-ply failure.</w:t>
      </w:r>
    </w:p>
    <w:p>
      <w:hyperlink r:id="rId315">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99" name="Picture 99" descr="CDS workflow or model illustration"/>
            <wp:cNvGraphicFramePr>
              <a:graphicFrameLocks noChangeAspect="1"/>
            </wp:cNvGraphicFramePr>
            <a:graphic>
              <a:graphicData uri="http://schemas.openxmlformats.org/drawingml/2006/picture">
                <pic:pic>
                  <pic:nvPicPr>
                    <pic:cNvPr id="0" name="rsvg-56eb91a00c5accc4519677e3ce9a74fd0fdd9a0032acc8bab41b81cc7d926b3b.png"/>
                    <pic:cNvPicPr/>
                  </pic:nvPicPr>
                  <pic:blipFill>
                    <a:blip r:embed="rId50"/>
                    <a:stretch>
                      <a:fillRect/>
                    </a:stretch>
                  </pic:blipFill>
                  <pic:spPr>
                    <a:xfrm>
                      <a:off x="0" y="0"/>
                      <a:ext cx="6217920" cy="3067645"/>
                    </a:xfrm>
                    <a:prstGeom prst="rect"/>
                  </pic:spPr>
                </pic:pic>
              </a:graphicData>
            </a:graphic>
          </wp:inline>
        </w:drawing>
      </w:r>
    </w:p>
    <w:p>
      <w:pPr>
        <w:pStyle w:val="Heading2"/>
      </w:pPr>
      <w:r>
        <w:t>Setup</w:t>
      </w:r>
    </w:p>
    <w:p>
      <w:r>
        <w:t>The starter uses IM7/8552, not AS4/3501-6. Supply traceable AS4/3501-6 ply properties, thickness and the source diameter convention before comparison. Slits are intentionally outside this pristine-cylinder model.</w:t>
      </w:r>
    </w:p>
    <w:p>
      <w:pPr>
        <w:pStyle w:val="Heading2"/>
      </w:pPr>
      <w:r>
        <w:t>Tasks</w:t>
      </w:r>
    </w:p>
    <w:p>
      <w:r>
        <w:t>Read the web walkthrough and NASA-CR-195101 / NASA-CR-192618. Create a traceable AS4/3501-6 stored ply and replace the starter Micro source. Establish the source’s 305 mm cylinder diameter convention and corresponding Geometry inputs.</w:t>
      </w:r>
    </w:p>
    <w:p>
      <w:r>
        <w:t>Build [90/0/45/−45]s and a separate [0/45/−45/90]s laminate at equal total thickness. Apply low internal pressure with closed ends and no unrelated axial load.</w:t>
      </w:r>
    </w:p>
    <w:p>
      <w:r>
        <w:t>Run the pristine thin-wall membrane cases. Verify Nhoop = p r and Naxial = p r / 2; compare global strains, A-matrices and D16/D26. Use documented strength inputs for supported first-ply screening.</w:t>
      </w:r>
    </w:p>
    <w:p>
      <w:r>
        <w:t>Document the excluded 12.7–50.8 mm axial slits and hand off loads/material state to a suitable local fracture model. Do not interpret a global first-ply result as slit failure pressure or delamination resistance.</w:t>
      </w:r>
    </w:p>
    <w:p>
      <w:pPr>
        <w:pStyle w:val="Heading2"/>
      </w:pPr>
      <w:r>
        <w:t>Checkpoints</w:t>
      </w:r>
    </w:p>
    <w:p>
      <w:r>
        <w:t>The pressure-induced hoop-to-axial membrane load ratio is two for the stated closed-end case.</w:t>
      </w:r>
    </w:p>
    <w:p>
      <w:r>
        <w:t>Similar in-plane stiffness does not imply identical local damage or bending response.</w:t>
      </w:r>
    </w:p>
    <w:p>
      <w:pPr>
        <w:pStyle w:val="Heading2"/>
      </w:pPr>
      <w:r>
        <w:t>Model limits</w:t>
      </w:r>
    </w:p>
    <w:p>
      <w:r>
        <w:t>Pristine-cylinder screening only. Slit-tip fracture, splitting, delamination, nonlinear local response and the source’s subcritical damage are not solved here.</w:t>
      </w:r>
    </w:p>
    <w:p>
      <w:pPr>
        <w:pStyle w:val="Heading2"/>
      </w:pPr>
      <w:r>
        <w:t>Recorded validation</w:t>
      </w:r>
    </w:p>
    <w:p>
      <w:r>
        <w:t>2026-09-18 — Not benchmark validated: No matched quantitative reference comparison completed for the full exercise.</w:t>
      </w:r>
    </w:p>
    <w:p>
      <w:r>
        <w:t>Pristine-cylinder screening only. Slit-tip fracture, splitting, delamination, nonlinear local response and the source’s subcritical damage are not solved here.</w:t>
      </w:r>
    </w:p>
    <w:p>
      <w:hyperlink r:id="rId52">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CLT · Linear thin-wall membrane. Shared laminate stiffness drives this membrane/CLT path. Failure criteria are independent comparisons, not blended models. Fatigue is a separate assessment.</w:t>
      </w:r>
    </w:p>
    <w:p>
      <w:hyperlink r:id="rId39">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07">
        <w:r>
          <w:rPr>
            <w:color w:val="176EA4"/>
          </w:rPr>
          <w:t>Related case study: NASA pressure cylinder</w:t>
        </w:r>
      </w:hyperlink>
      <w:r>
        <w:t xml:space="preserve"> </w:t>
      </w:r>
    </w:p>
    <w:p>
      <w:hyperlink r:id="rId29">
        <w:r>
          <w:rPr>
            <w:color w:val="176EA4"/>
          </w:rPr>
          <w:t>Edit material properties and units</w:t>
        </w:r>
      </w:hyperlink>
      <w:r>
        <w:t xml:space="preserve"> </w:t>
      </w:r>
    </w:p>
    <w:p>
      <w:hyperlink r:id="rId128">
        <w:r>
          <w:rPr>
            <w:color w:val="176EA4"/>
          </w:rPr>
          <w:t>Edit laminate materials, angles and thicknesses</w:t>
        </w:r>
      </w:hyperlink>
      <w:r>
        <w:t xml:space="preserve"> </w:t>
      </w:r>
    </w:p>
    <w:p>
      <w:hyperlink r:id="rId137">
        <w:r>
          <w:rPr>
            <w:color w:val="176EA4"/>
          </w:rPr>
          <w:t>Geometry, loading and virtual tests</w:t>
        </w:r>
      </w:hyperlink>
      <w:r>
        <w:t xml:space="preserve"> </w:t>
      </w:r>
    </w:p>
    <w:p>
      <w:hyperlink r:id="rId32">
        <w:r>
          <w:rPr>
            <w:color w:val="176EA4"/>
          </w:rPr>
          <w:t>Connected inputs and result freshness</w:t>
        </w:r>
      </w:hyperlink>
      <w:r>
        <w:t xml:space="preserve"> </w:t>
      </w:r>
    </w:p>
    <w:p>
      <w:pPr>
        <w:keepNext/>
      </w:pPr>
      <w:hyperlink r:id="rId33">
        <w:r>
          <w:rPr>
            <w:color w:val="176EA4"/>
          </w:rPr>
          <w:t>Run and review a model</w:t>
        </w:r>
      </w:hyperlink>
      <w:r>
        <w:t xml:space="preserve"> </w:t>
      </w:r>
    </w:p>
    <w:p>
      <w:r>
        <w:t>Record the inputs, units, solver notices and checkpoint results before drawing a conclusion. When exploring a variation, change one factor at a time and compare it with the original case.</w:t>
      </w:r>
    </w:p>
    <w:p>
      <w:bookmarkStart w:id="75" w:name="chapter_75"/>
      <w:pPr>
        <w:pStyle w:val="Heading1"/>
        <w:pageBreakBefore/>
      </w:pPr>
      <w:r>
        <w:t>NASA Thick T700S/TC380 cure process</w:t>
      </w:r>
      <w:bookmarkEnd w:id="75"/>
    </w:p>
    <w:p>
      <w:pPr>
        <w:pStyle w:val="Caption"/>
      </w:pPr>
      <w:hyperlink r:id="rId35">
        <w:r>
          <w:rPr>
            <w:color w:val="176EA4"/>
          </w:rPr>
          <w:t>Online chapter</w:t>
        </w:r>
      </w:hyperlink>
      <w:r>
        <w:t xml:space="preserve"> </w:t>
      </w:r>
    </w:p>
    <w:p>
      <w:r>
        <w:t>Thick-panel cure and exotherm. 40-ply through-thickness slab. Models: 1D transient heat transfer, Cure kinetics, CHILE, Process optimization.</w:t>
      </w:r>
    </w:p>
    <w:p>
      <w:hyperlink r:id="rId316">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00" name="Picture 100" descr="CDS workflow or model illustration"/>
            <wp:cNvGraphicFramePr>
              <a:graphicFrameLocks noChangeAspect="1"/>
            </wp:cNvGraphicFramePr>
            <a:graphic>
              <a:graphicData uri="http://schemas.openxmlformats.org/drawingml/2006/picture">
                <pic:pic>
                  <pic:nvPicPr>
                    <pic:cNvPr id="0" name="rsvg-0e2c36d103de636a3218433314157c3d54103a2656b07ba8515859b5055d255d.png"/>
                    <pic:cNvPicPr/>
                  </pic:nvPicPr>
                  <pic:blipFill>
                    <a:blip r:embed="rId44"/>
                    <a:stretch>
                      <a:fillRect/>
                    </a:stretch>
                  </pic:blipFill>
                  <pic:spPr>
                    <a:xfrm>
                      <a:off x="0" y="0"/>
                      <a:ext cx="6217920" cy="3067645"/>
                    </a:xfrm>
                    <a:prstGeom prst="rect"/>
                  </pic:spPr>
                </pic:pic>
              </a:graphicData>
            </a:graphic>
          </wp:inline>
        </w:drawing>
      </w:r>
    </w:p>
    <w:p>
      <w:pPr>
        <w:pStyle w:val="Heading2"/>
      </w:pPr>
      <w:r>
        <w:t>Setup</w:t>
      </w:r>
    </w:p>
    <w:p>
      <w:r>
        <w:t>The starter resin and cycle are not TC380 calibration. The source supplies the schedule and measured checkpoints, but not all kinetics, heat-of-reaction or transport inputs. Source those inputs before a quantitative comparison.</w:t>
      </w:r>
    </w:p>
    <w:p>
      <w:pPr>
        <w:pStyle w:val="Heading2"/>
      </w:pPr>
      <w:r>
        <w:t>Tasks</w:t>
      </w:r>
    </w:p>
    <w:p>
      <w:r>
        <w:t>Open the web case and NASA 20200000350. Build 40 plies totaling 25.4 mm; identify and document T700S/TC380 conductivity, density, specific heat, kinetics, reaction heat and cure-modulus data. Do not relabel the starter epoxy as TC380.</w:t>
      </w:r>
    </w:p>
    <w:p>
      <w:r>
        <w:t>Enter the oven schedule: room temperature to 107°C at 1.1°C/min; hold 60 min; ramp to 180°C at 1.1°C/min; hold 120 min; cool at no more than 3°C/min to below 49°C. Treat the optional two-hour 180°C post-cure as a separate cycle.</w:t>
      </w:r>
    </w:p>
    <w:p>
      <w:r>
        <w:t>Save a conduction baseline with reaction heating disabled, then use the calibrated cure model and compare core, surface and tool-side temperatures, cure state and exotherm. Check time and through-thickness mesh convergence.</w:t>
      </w:r>
    </w:p>
    <w:p>
      <w:r>
        <w:t>Review the published approximate 10°C overshoot and maximum through-thickness variation, plus center/tool-side conversion context. Use a duplicate for cycle optimization with explicit peak-temperature and minimum-cure constraints; rerun the final candidate.</w:t>
      </w:r>
    </w:p>
    <w:p>
      <w:pPr>
        <w:pStyle w:val="Heading2"/>
      </w:pPr>
      <w:r>
        <w:t>Checkpoints</w:t>
      </w:r>
    </w:p>
    <w:p>
      <w:r>
        <w:t>Matching the oven schedule alone does not validate the cure model.</w:t>
      </w:r>
    </w:p>
    <w:p>
      <w:r>
        <w:t>Keep measured temperature/conversion checkpoints separate from your chosen material calibration and boundary assumptions.</w:t>
      </w:r>
    </w:p>
    <w:p>
      <w:pPr>
        <w:pStyle w:val="Heading2"/>
      </w:pPr>
      <w:r>
        <w:t>Model limits</w:t>
      </w:r>
    </w:p>
    <w:p>
      <w:r>
        <w:t>One-dimensional through-thickness study, not oven airflow or a general 3D process model. Missing TC380 calibration remains a setup requirement, never a default validated result.</w:t>
      </w:r>
    </w:p>
    <w:p>
      <w:pPr>
        <w:pStyle w:val="Heading2"/>
      </w:pPr>
      <w:r>
        <w:t>Recorded validation</w:t>
      </w:r>
    </w:p>
    <w:p>
      <w:r>
        <w:t>2026-09-18 — Not benchmark validated: No matched quantitative reference comparison completed for the full exercise.</w:t>
      </w:r>
    </w:p>
    <w:p>
      <w:r>
        <w:t>One-dimensional through-thickness study, not oven airflow or a general 3D process model. Missing TC380 calibration remains a setup requirement, never a default validated result.</w:t>
      </w:r>
    </w:p>
    <w:p>
      <w:hyperlink r:id="rId47">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transient heat transfer. Needs linked laminate properties and a compatible process schedule. A linked cycle is not a solved temperature history.</w:t>
      </w:r>
    </w:p>
    <w:p>
      <w:hyperlink r:id="rId45">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Thermal to Simulation: SIMULATION selects this case and its analysis model; the case owns its applicable cycle and input references.</w:t>
      </w:r>
    </w:p>
    <w:p>
      <w:r>
        <w:t>Laminates to Thermal: Ply angles and thicknesses, stiffness, mass and ply properties.</w:t>
      </w:r>
    </w:p>
    <w:p>
      <w:r>
        <w:t>Simulation to Optimization: Linked inputs and current-property response for candidate evaluation.</w:t>
      </w:r>
    </w:p>
    <w:p>
      <w:pPr>
        <w:pStyle w:val="Heading2"/>
      </w:pPr>
      <w:r>
        <w:t>References</w:t>
      </w:r>
    </w:p>
    <w:p>
      <w:hyperlink r:id="rId298">
        <w:r>
          <w:rPr>
            <w:color w:val="176EA4"/>
          </w:rPr>
          <w:t>Related case study: NASA process cure</w:t>
        </w:r>
      </w:hyperlink>
      <w:r>
        <w:t xml:space="preserve"> </w:t>
      </w:r>
    </w:p>
    <w:p>
      <w:hyperlink r:id="rId29">
        <w:r>
          <w:rPr>
            <w:color w:val="176EA4"/>
          </w:rPr>
          <w:t>Edit material properties and units</w:t>
        </w:r>
      </w:hyperlink>
      <w:r>
        <w:t xml:space="preserve"> </w:t>
      </w:r>
    </w:p>
    <w:p>
      <w:hyperlink r:id="rId160">
        <w:r>
          <w:rPr>
            <w:color w:val="176EA4"/>
          </w:rPr>
          <w:t>Enter a process cycle and boundary conditions</w:t>
        </w:r>
      </w:hyperlink>
      <w:r>
        <w:t xml:space="preserve"> </w:t>
      </w:r>
    </w:p>
    <w:p>
      <w:hyperlink r:id="rId161">
        <w:r>
          <w:rPr>
            <w:color w:val="176EA4"/>
          </w:rPr>
          <w:t>Cure exotherm and evolving modulus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76" w:name="chapter_76"/>
      <w:pPr>
        <w:pStyle w:val="Heading1"/>
        <w:pageBreakBefore/>
      </w:pPr>
      <w:r>
        <w:t>Coupled cure thermal moisture and structural response</w:t>
      </w:r>
      <w:bookmarkEnd w:id="76"/>
    </w:p>
    <w:p>
      <w:pPr>
        <w:pStyle w:val="Caption"/>
      </w:pPr>
      <w:hyperlink r:id="rId35">
        <w:r>
          <w:rPr>
            <w:color w:val="176EA4"/>
          </w:rPr>
          <w:t>Online chapter</w:t>
        </w:r>
      </w:hyperlink>
      <w:r>
        <w:t xml:space="preserve"> </w:t>
      </w:r>
    </w:p>
    <w:p>
      <w:r>
        <w:t>Environmental laminate response. Finite plate. Models: Heat transfer, Moisture diffusion, Classical laminate theory, Thermomechanical coupling, Kamal–Sourour cure kinetics, CHILE cure-dependent modulus.</w:t>
      </w:r>
    </w:p>
    <w:p>
      <w:hyperlink r:id="rId317">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104828"/>
            <wp:docPr id="101" name="Picture 101" descr="CDS workflow or model illustration"/>
            <wp:cNvGraphicFramePr>
              <a:graphicFrameLocks noChangeAspect="1"/>
            </wp:cNvGraphicFramePr>
            <a:graphic>
              <a:graphicData uri="http://schemas.openxmlformats.org/drawingml/2006/picture">
                <pic:pic>
                  <pic:nvPicPr>
                    <pic:cNvPr id="0" name="rsvg-b1837050a3ca92360716d397705b84295f1591981ccc26463be7f36a45d6d1ff.png"/>
                    <pic:cNvPicPr/>
                  </pic:nvPicPr>
                  <pic:blipFill>
                    <a:blip r:embed="rId318"/>
                    <a:stretch>
                      <a:fillRect/>
                    </a:stretch>
                  </pic:blipFill>
                  <pic:spPr>
                    <a:xfrm>
                      <a:off x="0" y="0"/>
                      <a:ext cx="6217920" cy="3104828"/>
                    </a:xfrm>
                    <a:prstGeom prst="rect"/>
                  </pic:spPr>
                </pic:pic>
              </a:graphicData>
            </a:graphic>
          </wp:inline>
        </w:drawing>
      </w:r>
    </w:p>
    <w:p>
      <w:pPr>
        <w:pStyle w:val="Heading2"/>
      </w:pPr>
      <w:r>
        <w:t>Tasks</w:t>
      </w:r>
    </w:p>
    <w:p>
      <w:r>
        <w:t>Trace all three linked analyses in Simulation, their shared laminate, separate process cycles, and the matrix cure-kinetics and cure-modulus models.</w:t>
      </w:r>
    </w:p>
    <w:p>
      <w:r>
        <w:t>Run the connected example and inspect thermal, moisture and structural outputs together.</w:t>
      </w:r>
    </w:p>
    <w:p>
      <w:r>
        <w:t>Compare with a mechanical-only copy by clearing the thermal and moisture analysis selections in Simulation; rerun and document the differences.</w:t>
      </w:r>
    </w:p>
    <w:p>
      <w:pPr>
        <w:pStyle w:val="Heading2"/>
      </w:pPr>
      <w:r>
        <w:t>Checkpoints</w:t>
      </w:r>
    </w:p>
    <w:p>
      <w:r>
        <w:t>Check reference temperature, reference moisture and the time/state used for structural coupling.</w:t>
      </w:r>
    </w:p>
    <w:p>
      <w:r>
        <w:t>Separate applied mechanical loading from thermal and moisture expansion effects.</w:t>
      </w:r>
    </w:p>
    <w:p>
      <w:pPr>
        <w:pStyle w:val="Heading2"/>
      </w:pPr>
      <w:r>
        <w:t>Model limits</w:t>
      </w:r>
    </w:p>
    <w:p>
      <w:r>
        <w:t>Use the solver’s reported coupling state and limits. Do not assume this constitutes a general 3D coupled finite-element model or a calibrated cure-residual-stress prediction.</w:t>
      </w:r>
    </w:p>
    <w:p>
      <w:pPr>
        <w:pStyle w:val="Heading2"/>
      </w:pPr>
      <w:r>
        <w:t>Recorded validation</w:t>
      </w:r>
    </w:p>
    <w:p>
      <w:r>
        <w:t>2026-09-18 — Not benchmark validated: No matched quantitative reference comparison completed for the full exercise.</w:t>
      </w:r>
    </w:p>
    <w:p>
      <w:r>
        <w:t>Use the solver’s reported coupling state and limits. Do not assume this constitutes a general 3D coupled finite-element model or a calibrated cure-residual-stress prediction.</w:t>
      </w:r>
    </w:p>
    <w:p>
      <w:hyperlink r:id="rId319">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transient heat transfer. Needs linked laminate properties and a compatible process schedule. A linked cycle is not a solved temperature history.</w:t>
      </w:r>
    </w:p>
    <w:p>
      <w:hyperlink r:id="rId45">
        <w:r>
          <w:rPr>
            <w:color w:val="176EA4"/>
          </w:rPr>
          <w:t>Theory and assumptions</w:t>
        </w:r>
      </w:hyperlink>
      <w:r>
        <w:t xml:space="preserve"> </w:t>
      </w:r>
    </w:p>
    <w:p>
      <w:r>
        <w:t>1D transient moisture diffusion. Needs its own moisture boundary conditions and linked laminate. A separate thermal analysis can share the simulation.</w:t>
      </w:r>
    </w:p>
    <w:p>
      <w:hyperlink r:id="rId311">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Thermal to Simulation: SIMULATION selects this case and its analysis model; the case owns its applicable cycle and input references.</w:t>
      </w:r>
    </w:p>
    <w:p>
      <w:r>
        <w:t>Laminates to Thermal: Ply angles and thicknesses, stiffness, mass and ply properties.</w:t>
      </w:r>
    </w:p>
    <w:p>
      <w:r>
        <w:t>Moisture to Simulation: SIMULATION selects this case and its analysis model; the case owns its applicable cycle and input references.</w:t>
      </w:r>
    </w:p>
    <w:p>
      <w:r>
        <w:t>Laminates to Moisture: Ply angles and thicknesses, stiffness, mass and ply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161">
        <w:r>
          <w:rPr>
            <w:color w:val="176EA4"/>
          </w:rPr>
          <w:t>Cure exotherm and evolving modulus</w:t>
        </w:r>
      </w:hyperlink>
      <w:r>
        <w:t xml:space="preserve"> </w:t>
      </w:r>
    </w:p>
    <w:p>
      <w:hyperlink r:id="rId33">
        <w:r>
          <w:rPr>
            <w:color w:val="176EA4"/>
          </w:rPr>
          <w:t>Run and review a model</w:t>
        </w:r>
      </w:hyperlink>
      <w:r>
        <w:t xml:space="preserve"> </w:t>
      </w:r>
    </w:p>
    <w:p>
      <w:hyperlink r:id="rId32">
        <w:r>
          <w:rPr>
            <w:color w:val="176EA4"/>
          </w:rPr>
          <w:t>Connected inputs and result freshness</w:t>
        </w:r>
      </w:hyperlink>
      <w:r>
        <w:t xml:space="preserve"> </w:t>
      </w:r>
    </w:p>
    <w:p>
      <w:pPr>
        <w:keepNext/>
      </w:pPr>
      <w:hyperlink r:id="rId298">
        <w:r>
          <w:rPr>
            <w:color w:val="176EA4"/>
          </w:rPr>
          <w:t>Related case study: NASA process cure</w:t>
        </w:r>
      </w:hyperlink>
      <w:r>
        <w:t xml:space="preserve"> </w:t>
      </w:r>
    </w:p>
    <w:p>
      <w:r>
        <w:t>Record the inputs, units, solver notices and checkpoint results before drawing a conclusion. When exploring a variation, change one factor at a time and compare it with the original case.</w:t>
      </w:r>
    </w:p>
    <w:p>
      <w:bookmarkStart w:id="77" w:name="chapter_77"/>
      <w:pPr>
        <w:pStyle w:val="Heading1"/>
        <w:pageBreakBefore/>
      </w:pPr>
      <w:r>
        <w:t>13 Thermal cycle surface/core lag</w:t>
      </w:r>
      <w:bookmarkEnd w:id="77"/>
    </w:p>
    <w:p>
      <w:pPr>
        <w:pStyle w:val="Caption"/>
      </w:pPr>
      <w:hyperlink r:id="rId35">
        <w:r>
          <w:rPr>
            <w:color w:val="176EA4"/>
          </w:rPr>
          <w:t>Online chapter</w:t>
        </w:r>
      </w:hyperlink>
      <w:r>
        <w:t xml:space="preserve"> </w:t>
      </w:r>
    </w:p>
    <w:p>
      <w:r>
        <w:t>Thermal processing. Laminate through-thickness slab. Models: 1D transient heat transfer, Film convection.</w:t>
      </w:r>
    </w:p>
    <w:p>
      <w:hyperlink r:id="rId320">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02" name="Picture 102" descr="CDS workflow or model illustration"/>
            <wp:cNvGraphicFramePr>
              <a:graphicFrameLocks noChangeAspect="1"/>
            </wp:cNvGraphicFramePr>
            <a:graphic>
              <a:graphicData uri="http://schemas.openxmlformats.org/drawingml/2006/picture">
                <pic:pic>
                  <pic:nvPicPr>
                    <pic:cNvPr id="0" name="rsvg-d5e2c0c3f3623b00b6b270c4cd061e7e6009fa7bb9651635068c57c735ff6398.png"/>
                    <pic:cNvPicPr/>
                  </pic:nvPicPr>
                  <pic:blipFill>
                    <a:blip r:embed="rId321"/>
                    <a:stretch>
                      <a:fillRect/>
                    </a:stretch>
                  </pic:blipFill>
                  <pic:spPr>
                    <a:xfrm>
                      <a:off x="0" y="0"/>
                      <a:ext cx="6217920" cy="3067645"/>
                    </a:xfrm>
                    <a:prstGeom prst="rect"/>
                  </pic:spPr>
                </pic:pic>
              </a:graphicData>
            </a:graphic>
          </wp:inline>
        </w:drawing>
      </w:r>
    </w:p>
    <w:p>
      <w:pPr>
        <w:pStyle w:val="Heading2"/>
      </w:pPr>
      <w:r>
        <w:t>Tasks</w:t>
      </w:r>
    </w:p>
    <w:p>
      <w:r>
        <w:t>Trace the thermal analysis to its laminate, Micro constituents and process cycle.</w:t>
      </w:r>
    </w:p>
    <w:p>
      <w:r>
        <w:t>Run and inspect surface and core temperatures through the cycle.</w:t>
      </w:r>
    </w:p>
    <w:p>
      <w:r>
        <w:t>Vary one film coefficient or dwell time, rerun, and compare the time required for the core to approach the target temperature.</w:t>
      </w:r>
    </w:p>
    <w:p>
      <w:pPr>
        <w:pStyle w:val="Heading2"/>
      </w:pPr>
      <w:r>
        <w:t>Checkpoints</w:t>
      </w:r>
    </w:p>
    <w:p>
      <w:r>
        <w:t>Film coefficients are explicit inputs, not automatically inferred from a boundary label.</w:t>
      </w:r>
    </w:p>
    <w:p>
      <w:r>
        <w:t>Record thermal conductivity, heat capacity and units used in the linked material models.</w:t>
      </w:r>
    </w:p>
    <w:p>
      <w:pPr>
        <w:pStyle w:val="Heading2"/>
      </w:pPr>
      <w:r>
        <w:t>Model limits</w:t>
      </w:r>
    </w:p>
    <w:p>
      <w:r>
        <w:t>One-dimensional through-thickness transport; lateral heat loss and oven airflow are not resolved. Inspect linked cure settings before interpreting reaction heating.</w:t>
      </w:r>
    </w:p>
    <w:p>
      <w:pPr>
        <w:pStyle w:val="Heading2"/>
      </w:pPr>
      <w:r>
        <w:t>Recorded validation</w:t>
      </w:r>
    </w:p>
    <w:p>
      <w:r>
        <w:t>2026-09-18 — Not benchmark validated: No matched quantitative reference comparison completed for the full exercise.</w:t>
      </w:r>
    </w:p>
    <w:p>
      <w:r>
        <w:t>One-dimensional through-thickness transport; lateral heat loss and oven airflow are not resolved. Inspect linked cure settings before interpreting reaction heating.</w:t>
      </w:r>
    </w:p>
    <w:p>
      <w:hyperlink r:id="rId322">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transient heat transfer. Needs linked laminate properties and a compatible process schedule. A linked cycle is not a solved temperature history.</w:t>
      </w:r>
    </w:p>
    <w:p>
      <w:hyperlink r:id="rId45">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Thermal to Simulation: SIMULATION selects this case and its analysis model; the case owns its applicable cycle and input references.</w:t>
      </w:r>
    </w:p>
    <w:p>
      <w:r>
        <w:t>Laminates to Thermal: Ply angles and thicknesses, stiffness, mass and ply properties.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29">
        <w:r>
          <w:rPr>
            <w:color w:val="176EA4"/>
          </w:rPr>
          <w:t>Edit material properties and units</w:t>
        </w:r>
      </w:hyperlink>
      <w:r>
        <w:t xml:space="preserve"> </w:t>
      </w:r>
    </w:p>
    <w:p>
      <w:hyperlink r:id="rId160">
        <w:r>
          <w:rPr>
            <w:color w:val="176EA4"/>
          </w:rPr>
          <w:t>Enter a process cycle and boundary conditions</w:t>
        </w:r>
      </w:hyperlink>
      <w:r>
        <w:t xml:space="preserve"> </w:t>
      </w:r>
    </w:p>
    <w:p>
      <w:hyperlink r:id="rId33">
        <w:r>
          <w:rPr>
            <w:color w:val="176EA4"/>
          </w:rPr>
          <w:t>Run and review a model</w:t>
        </w:r>
      </w:hyperlink>
      <w:r>
        <w:t xml:space="preserve"> </w:t>
      </w:r>
    </w:p>
    <w:p>
      <w:hyperlink r:id="rId32">
        <w:r>
          <w:rPr>
            <w:color w:val="176EA4"/>
          </w:rPr>
          <w:t>Connected inputs and result freshness</w:t>
        </w:r>
      </w:hyperlink>
      <w:r>
        <w:t xml:space="preserve"> </w:t>
      </w:r>
    </w:p>
    <w:p>
      <w:pPr>
        <w:keepNext/>
      </w:pPr>
      <w:hyperlink r:id="rId298">
        <w:r>
          <w:rPr>
            <w:color w:val="176EA4"/>
          </w:rPr>
          <w:t>Related case study: NASA process cure</w:t>
        </w:r>
      </w:hyperlink>
      <w:r>
        <w:t xml:space="preserve"> </w:t>
      </w:r>
    </w:p>
    <w:p>
      <w:r>
        <w:t>Record the inputs, units, solver notices and checkpoint results before drawing a conclusion. When exploring a variation, change one factor at a time and compare it with the original case.</w:t>
      </w:r>
    </w:p>
    <w:p>
      <w:bookmarkStart w:id="78" w:name="chapter_78"/>
      <w:pPr>
        <w:pStyle w:val="Heading1"/>
        <w:pageBreakBefore/>
      </w:pPr>
      <w:r>
        <w:t>14 Moisture conditioning diffusion</w:t>
      </w:r>
      <w:bookmarkEnd w:id="78"/>
    </w:p>
    <w:p>
      <w:pPr>
        <w:pStyle w:val="Caption"/>
      </w:pPr>
      <w:hyperlink r:id="rId35">
        <w:r>
          <w:rPr>
            <w:color w:val="176EA4"/>
          </w:rPr>
          <w:t>Online chapter</w:t>
        </w:r>
      </w:hyperlink>
      <w:r>
        <w:t xml:space="preserve"> </w:t>
      </w:r>
    </w:p>
    <w:p>
      <w:r>
        <w:t>Environmental conditioning. Laminate through-thickness slab. Models: 1D transient moisture diffusion.</w:t>
      </w:r>
    </w:p>
    <w:p>
      <w:hyperlink r:id="rId323">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03" name="Picture 103" descr="CDS workflow or model illustration"/>
            <wp:cNvGraphicFramePr>
              <a:graphicFrameLocks noChangeAspect="1"/>
            </wp:cNvGraphicFramePr>
            <a:graphic>
              <a:graphicData uri="http://schemas.openxmlformats.org/drawingml/2006/picture">
                <pic:pic>
                  <pic:nvPicPr>
                    <pic:cNvPr id="0" name="rsvg-6d3261f22b8ddf24680f5c7210819df7246cfd1cc9748490fd4ede9898344d95.png"/>
                    <pic:cNvPicPr/>
                  </pic:nvPicPr>
                  <pic:blipFill>
                    <a:blip r:embed="rId324"/>
                    <a:stretch>
                      <a:fillRect/>
                    </a:stretch>
                  </pic:blipFill>
                  <pic:spPr>
                    <a:xfrm>
                      <a:off x="0" y="0"/>
                      <a:ext cx="6217920" cy="3067645"/>
                    </a:xfrm>
                    <a:prstGeom prst="rect"/>
                  </pic:spPr>
                </pic:pic>
              </a:graphicData>
            </a:graphic>
          </wp:inline>
        </w:drawing>
      </w:r>
    </w:p>
    <w:p>
      <w:pPr>
        <w:pStyle w:val="Heading2"/>
      </w:pPr>
      <w:r>
        <w:t>Tasks</w:t>
      </w:r>
    </w:p>
    <w:p>
      <w:r>
        <w:t>Inspect initial moisture, the conditioning cycle, saturation and diffusivity inputs.</w:t>
      </w:r>
    </w:p>
    <w:p>
      <w:r>
        <w:t>Run and compare surface and core moisture histories.</w:t>
      </w:r>
    </w:p>
    <w:p>
      <w:r>
        <w:t>Increase conditioning duration and rerun; explain why core uptake lags the boundary.</w:t>
      </w:r>
    </w:p>
    <w:p>
      <w:pPr>
        <w:pStyle w:val="Heading2"/>
      </w:pPr>
      <w:r>
        <w:t>Checkpoints</w:t>
      </w:r>
    </w:p>
    <w:p>
      <w:r>
        <w:t>Distinguish humidity boundary inputs from moisture concentration inside the material.</w:t>
      </w:r>
    </w:p>
    <w:p>
      <w:r>
        <w:t>Check units and the linked diffusivity before comparing time scales.</w:t>
      </w:r>
    </w:p>
    <w:p>
      <w:pPr>
        <w:pStyle w:val="Heading2"/>
      </w:pPr>
      <w:r>
        <w:t>Model limits</w:t>
      </w:r>
    </w:p>
    <w:p>
      <w:r>
        <w:t>One-dimensional Fickian transport with the selected constitutive inputs, not a prediction of chemical degradation.</w:t>
      </w:r>
    </w:p>
    <w:p>
      <w:pPr>
        <w:pStyle w:val="Heading2"/>
      </w:pPr>
      <w:r>
        <w:t>Recorded validation</w:t>
      </w:r>
    </w:p>
    <w:p>
      <w:r>
        <w:t>2026-09-18 — Not benchmark validated: No matched quantitative reference comparison completed for the full exercise.</w:t>
      </w:r>
    </w:p>
    <w:p>
      <w:r>
        <w:t>One-dimensional Fickian transport with the selected constitutive inputs, not a prediction of chemical degradation.</w:t>
      </w:r>
    </w:p>
    <w:p>
      <w:hyperlink r:id="rId325">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transient moisture diffusion. Needs its own moisture boundary conditions and linked laminate. A separate thermal analysis can share the simulation.</w:t>
      </w:r>
    </w:p>
    <w:p>
      <w:hyperlink r:id="rId311">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Moisture to Simulation: SIMULATION selects this case and its analysis model; the case owns its applicable cycle and input references.</w:t>
      </w:r>
    </w:p>
    <w:p>
      <w:r>
        <w:t>Laminates to Moisture: Ply angles and thicknesses, stiffness, mass and ply properties.</w:t>
      </w:r>
    </w:p>
    <w:p>
      <w:r>
        <w:t>Simulation to Optimization: Linked inputs and current-property response for candidate evaluation.</w:t>
      </w:r>
    </w:p>
    <w:p>
      <w:pPr>
        <w:pStyle w:val="Heading2"/>
      </w:pPr>
      <w:r>
        <w:t>References</w:t>
      </w:r>
    </w:p>
    <w:p>
      <w:hyperlink r:id="rId160">
        <w:r>
          <w:rPr>
            <w:color w:val="176EA4"/>
          </w:rPr>
          <w:t>Enter a process cycle and boundary conditions</w:t>
        </w:r>
      </w:hyperlink>
      <w:r>
        <w:t xml:space="preserve"> </w:t>
      </w:r>
    </w:p>
    <w:p>
      <w:hyperlink r:id="rId29">
        <w:r>
          <w:rPr>
            <w:color w:val="176EA4"/>
          </w:rPr>
          <w:t>Edit material properties and units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79" w:name="chapter_79"/>
      <w:pPr>
        <w:pStyle w:val="Heading1"/>
        <w:pageBreakBefore/>
      </w:pPr>
      <w:r>
        <w:t>15 Pultrusion multi-zone die</w:t>
      </w:r>
      <w:bookmarkEnd w:id="79"/>
    </w:p>
    <w:p>
      <w:pPr>
        <w:pStyle w:val="Caption"/>
      </w:pPr>
      <w:hyperlink r:id="rId35">
        <w:r>
          <w:rPr>
            <w:color w:val="176EA4"/>
          </w:rPr>
          <w:t>Online chapter</w:t>
        </w:r>
      </w:hyperlink>
      <w:r>
        <w:t xml:space="preserve"> </w:t>
      </w:r>
    </w:p>
    <w:p>
      <w:r>
        <w:t>Pultrusion. Laminate through-thickness slab. Models: 1D pultrusion thermal cure, Kamal–Sourour cure kinetics.</w:t>
      </w:r>
    </w:p>
    <w:p>
      <w:hyperlink r:id="rId326">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04" name="Picture 104" descr="CDS workflow or model illustration"/>
            <wp:cNvGraphicFramePr>
              <a:graphicFrameLocks noChangeAspect="1"/>
            </wp:cNvGraphicFramePr>
            <a:graphic>
              <a:graphicData uri="http://schemas.openxmlformats.org/drawingml/2006/picture">
                <pic:pic>
                  <pic:nvPicPr>
                    <pic:cNvPr id="0" name="rsvg-45e1ae72d425cb06c8fb05b75cb301ce506afca907fc47664d9ab1914e7dc222.png"/>
                    <pic:cNvPicPr/>
                  </pic:nvPicPr>
                  <pic:blipFill>
                    <a:blip r:embed="rId327"/>
                    <a:stretch>
                      <a:fillRect/>
                    </a:stretch>
                  </pic:blipFill>
                  <pic:spPr>
                    <a:xfrm>
                      <a:off x="0" y="0"/>
                      <a:ext cx="6217920" cy="3067645"/>
                    </a:xfrm>
                    <a:prstGeom prst="rect"/>
                  </pic:spPr>
                </pic:pic>
              </a:graphicData>
            </a:graphic>
          </wp:inline>
        </w:drawing>
      </w:r>
    </w:p>
    <w:p>
      <w:pPr>
        <w:pStyle w:val="Heading2"/>
      </w:pPr>
      <w:r>
        <w:t>Tasks</w:t>
      </w:r>
    </w:p>
    <w:p>
      <w:r>
        <w:t>In SIMULATION, select the thermal case and inspect its linked laminate. In the case Initial conditions, identify pulling velocity 0.1 m/min and inlet temperature 23°C; the calculated outlet is not a prescribed material temperature.</w:t>
      </w:r>
    </w:p>
    <w:p>
      <w:r>
        <w:t>In the thermal case cycle, inspect the 1.6 m preheat, cure and cooling stations. Boundary temperatures are interpolated between stations; they are not the material temperatures.</w:t>
      </w:r>
    </w:p>
    <w:p>
      <w:r>
        <w:t>Run and inspect surface/core temperature, cure, axial-position cursor, residence time and balanced inlet/outlet mass flux. Reaction heating uses the linked resin data.</w:t>
      </w:r>
    </w:p>
    <w:p>
      <w:r>
        <w:t>Keep Length selected and compare 0.05, 0.1 and 0.2 m/min. Record outlet core temperature and cure, and compare residence times 32, 16 and 8 min.</w:t>
      </w:r>
    </w:p>
    <w:p>
      <w:pPr>
        <w:pStyle w:val="Heading2"/>
      </w:pPr>
      <w:r>
        <w:t>Checkpoints</w:t>
      </w:r>
    </w:p>
    <w:p>
      <w:r>
        <w:t>At 0.1 m/min, 1.6 m corresponds to 16 min.</w:t>
      </w:r>
    </w:p>
    <w:p>
      <w:r>
        <w:t>Mass flux in equals mass flux out and is reported per unit cross-sectional area, not total mass flow. Increasing speed increases flux and reduces residence time.</w:t>
      </w:r>
    </w:p>
    <w:p>
      <w:r>
        <w:t>Repeat with more thickness nodes and a shorter output interval to assess discretization sensitivity; do not infer a pass from the exercise completing.</w:t>
      </w:r>
    </w:p>
    <w:p>
      <w:pPr>
        <w:pStyle w:val="Heading2"/>
      </w:pPr>
      <w:r>
        <w:t>Model limits</w:t>
      </w:r>
    </w:p>
    <w:p>
      <w: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pPr>
        <w:pStyle w:val="Heading2"/>
      </w:pPr>
      <w:r>
        <w:t>Recorded validation</w:t>
      </w:r>
    </w:p>
    <w:p>
      <w:r>
        <w:t>2026-09-18 — Not benchmark validated: No matched quantitative reference comparison completed for the full exercise.</w:t>
      </w:r>
    </w:p>
    <w:p>
      <w: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hyperlink r:id="rId328">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pultrusion thermal cure. Needs linked laminate properties and a compatible process schedule. A linked cycle is not a solved temperature history.</w:t>
      </w:r>
    </w:p>
    <w:p>
      <w:hyperlink r:id="rId45">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Thermal to Simulation: SIMULATION selects this case and its analysis model; the case owns its applicable cycle and input references.</w:t>
      </w:r>
    </w:p>
    <w:p>
      <w:r>
        <w:t>Laminates to Thermal: Ply angles and thicknesses, stiffness, mass and ply properties.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29">
        <w:r>
          <w:rPr>
            <w:color w:val="176EA4"/>
          </w:rPr>
          <w:t>Edit material properties and units</w:t>
        </w:r>
      </w:hyperlink>
      <w:r>
        <w:t xml:space="preserve"> </w:t>
      </w:r>
    </w:p>
    <w:p>
      <w:hyperlink r:id="rId160">
        <w:r>
          <w:rPr>
            <w:color w:val="176EA4"/>
          </w:rPr>
          <w:t>Enter a process cycle and boundary conditions</w:t>
        </w:r>
      </w:hyperlink>
      <w:r>
        <w:t xml:space="preserve"> </w:t>
      </w:r>
    </w:p>
    <w:p>
      <w:hyperlink r:id="rId33">
        <w:r>
          <w:rPr>
            <w:color w:val="176EA4"/>
          </w:rPr>
          <w:t>Run and review a model</w:t>
        </w:r>
      </w:hyperlink>
      <w:r>
        <w:t xml:space="preserve"> </w:t>
      </w:r>
    </w:p>
    <w:p>
      <w:hyperlink r:id="rId161">
        <w:r>
          <w:rPr>
            <w:color w:val="176EA4"/>
          </w:rPr>
          <w:t>Cure exotherm and evolving modulus</w:t>
        </w:r>
      </w:hyperlink>
      <w:r>
        <w:t xml:space="preserve"> </w:t>
      </w:r>
    </w:p>
    <w:p>
      <w:hyperlink r:id="rId32">
        <w:r>
          <w:rPr>
            <w:color w:val="176EA4"/>
          </w:rPr>
          <w:t>Connected inputs and result freshness</w:t>
        </w:r>
      </w:hyperlink>
      <w:r>
        <w:t xml:space="preserve"> </w:t>
      </w:r>
    </w:p>
    <w:p>
      <w:pPr>
        <w:keepNext/>
      </w:pPr>
      <w:hyperlink r:id="rId298">
        <w:r>
          <w:rPr>
            <w:color w:val="176EA4"/>
          </w:rPr>
          <w:t>Related case study: NASA process cure</w:t>
        </w:r>
      </w:hyperlink>
      <w:r>
        <w:t xml:space="preserve"> </w:t>
      </w:r>
    </w:p>
    <w:p>
      <w:r>
        <w:t>Record the inputs, units, solver notices and checkpoint results before drawing a conclusion. When exploring a variation, change one factor at a time and compare it with the original case.</w:t>
      </w:r>
    </w:p>
    <w:p>
      <w:bookmarkStart w:id="80" w:name="chapter_80"/>
      <w:pPr>
        <w:pStyle w:val="Heading1"/>
        <w:pageBreakBefore/>
      </w:pPr>
      <w:r>
        <w:t>16 UV cure penetration and exotherm</w:t>
      </w:r>
      <w:bookmarkEnd w:id="80"/>
    </w:p>
    <w:p>
      <w:pPr>
        <w:pStyle w:val="Caption"/>
      </w:pPr>
      <w:hyperlink r:id="rId35">
        <w:r>
          <w:rPr>
            <w:color w:val="176EA4"/>
          </w:rPr>
          <w:t>Online chapter</w:t>
        </w:r>
      </w:hyperlink>
      <w:r>
        <w:t xml:space="preserve"> </w:t>
      </w:r>
    </w:p>
    <w:p>
      <w:r>
        <w:t>UV curing. Laminate through-thickness slab. Models: UV intensity-dependent cure, 1D transient heat transfer, Optical attenuation.</w:t>
      </w:r>
    </w:p>
    <w:p>
      <w:hyperlink r:id="rId329">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05" name="Picture 105" descr="CDS workflow or model illustration"/>
            <wp:cNvGraphicFramePr>
              <a:graphicFrameLocks noChangeAspect="1"/>
            </wp:cNvGraphicFramePr>
            <a:graphic>
              <a:graphicData uri="http://schemas.openxmlformats.org/drawingml/2006/picture">
                <pic:pic>
                  <pic:nvPicPr>
                    <pic:cNvPr id="0" name="rsvg-cd4fd36ed4c476d5c63fec94fab1b48d10228caef364b495bfdc46cb1ca77887.png"/>
                    <pic:cNvPicPr/>
                  </pic:nvPicPr>
                  <pic:blipFill>
                    <a:blip r:embed="rId330"/>
                    <a:stretch>
                      <a:fillRect/>
                    </a:stretch>
                  </pic:blipFill>
                  <pic:spPr>
                    <a:xfrm>
                      <a:off x="0" y="0"/>
                      <a:ext cx="6217920" cy="3067645"/>
                    </a:xfrm>
                    <a:prstGeom prst="rect"/>
                  </pic:spPr>
                </pic:pic>
              </a:graphicData>
            </a:graphic>
          </wp:inline>
        </w:drawing>
      </w:r>
    </w:p>
    <w:p>
      <w:pPr>
        <w:pStyle w:val="Heading2"/>
      </w:pPr>
      <w:r>
        <w:t>Tasks</w:t>
      </w:r>
    </w:p>
    <w:p>
      <w:r>
        <w:t>Trace the hypothetical matrix to its UV cure model and open the thermal case containing the 365 nm UV exposure cycle. Review the illustrative optical, kinetic and reaction-enthalpy inputs before running.</w:t>
      </w:r>
    </w:p>
    <w:p>
      <w:r>
        <w:t>Run the supplied 60 s upper-surface exposure followed by cooling to 120 s. Compare intensity, dose, degree of cure, absorbed UV heating and reaction heating through thickness.</w:t>
      </w:r>
    </w:p>
    <w:p>
      <w:r>
        <w:t>Change upper intensity from 1000 to 500 W/m², rerun and compare surface/core cure. Restore 1000 W/m² and add 1000 W/m² lower illumination; compare two-sided penetration.</w:t>
      </w:r>
    </w:p>
    <w:p>
      <w:r>
        <w:t>Halve UV maximum time step from 0.1 to 0.05 s and increase thickness nodes. Check convergence and note that this model does not advance cure in the dark.</w:t>
      </w:r>
    </w:p>
    <w:p>
      <w:pPr>
        <w:pStyle w:val="Heading2"/>
      </w:pPr>
      <w:r>
        <w:t>Checkpoints</w:t>
      </w:r>
    </w:p>
    <w:p>
      <w:r>
        <w:t>UV exposure timing is in seconds; the thermal boundary table is in minutes. Wavelength must match the linked UV model.</w:t>
      </w:r>
    </w:p>
    <w:p>
      <w:r>
        <w:t>Low core conversion is an outcome to investigate, not a successful cure pass. Inspect depth profiles, not only surface cure.</w:t>
      </w:r>
    </w:p>
    <w:p>
      <w:r>
        <w:t>Absorbed optical heating and resin reaction exotherm are separate heat sources; scattering loss is not converted to heat.</w:t>
      </w:r>
    </w:p>
    <w:p>
      <w:pPr>
        <w:pStyle w:val="Heading2"/>
      </w:pPr>
      <w:r>
        <w:t>Model limits</w:t>
      </w:r>
    </w:p>
    <w:p>
      <w:r>
        <w:t>Hypothetical UV-compatible teaching composite: inherited T700/epoxy elastic and transport values do not establish commercial resin UV compatibility or carbon-composite transparency. Effective optics, kinetics and enthalpy require calibration. No oxygen transport, shadowing, multiple scattering or radical dark cure. Use Run, not UV process optimization.</w:t>
      </w:r>
    </w:p>
    <w:p>
      <w:pPr>
        <w:pStyle w:val="Heading2"/>
      </w:pPr>
      <w:r>
        <w:t>Recorded validation</w:t>
      </w:r>
    </w:p>
    <w:p>
      <w:r>
        <w:t>2026-09-18 — Not benchmark validated: No matched quantitative reference comparison completed for the full exercise.</w:t>
      </w:r>
    </w:p>
    <w:p>
      <w:r>
        <w:t>Hypothetical UV-compatible teaching composite: inherited T700/epoxy elastic and transport values do not establish commercial resin UV compatibility or carbon-composite transparency. Effective optics, kinetics and enthalpy require calibration. No oxygen transport, shadowing, multiple scattering or radical dark cure. Use Run, not UV process optimization.</w:t>
      </w:r>
    </w:p>
    <w:p>
      <w:hyperlink r:id="rId331">
        <w:r>
          <w:rPr>
            <w:color w:val="176EA4"/>
          </w:rPr>
          <w:t>Validation evidence and tested inputs</w:t>
        </w:r>
      </w:hyperlink>
      <w:r>
        <w:t xml:space="preserve"> </w:t>
      </w:r>
    </w:p>
    <w:p>
      <w:pPr>
        <w:pStyle w:val="Heading2"/>
      </w:pPr>
      <w:r>
        <w:t>Connected models and submodels</w:t>
      </w:r>
    </w:p>
    <w:p>
      <w:r>
        <w:t>UV intensity-dependent cure.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coefficients only; not measured properties of any commercial resin. Calibrate kinetics and effective composite optics at the selected wavelength and fiber content.</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transient heat transfer. Needs linked laminate properties and a compatible process schedule. A linked cycle is not a solved temperature history.</w:t>
      </w:r>
    </w:p>
    <w:p>
      <w:hyperlink r:id="rId45">
        <w:r>
          <w:rPr>
            <w:color w:val="176EA4"/>
          </w:rPr>
          <w:t>Theory and assumptions</w:t>
        </w:r>
      </w:hyperlink>
      <w:r>
        <w:t xml:space="preserve">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Thermal to Simulation: SIMULATION selects this case and its analysis model; the case owns its applicable cycle and input references.</w:t>
      </w:r>
    </w:p>
    <w:p>
      <w:r>
        <w:t>Laminates to Thermal: Ply angles and thicknesses, stiffness, mass and ply properties.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29">
        <w:r>
          <w:rPr>
            <w:color w:val="176EA4"/>
          </w:rPr>
          <w:t>Edit material properties and units</w:t>
        </w:r>
      </w:hyperlink>
      <w:r>
        <w:t xml:space="preserve"> </w:t>
      </w:r>
    </w:p>
    <w:p>
      <w:hyperlink r:id="rId161">
        <w:r>
          <w:rPr>
            <w:color w:val="176EA4"/>
          </w:rPr>
          <w:t>Cure exotherm and evolving modulus</w:t>
        </w:r>
      </w:hyperlink>
      <w:r>
        <w:t xml:space="preserve"> </w:t>
      </w:r>
    </w:p>
    <w:p>
      <w:hyperlink r:id="rId160">
        <w:r>
          <w:rPr>
            <w:color w:val="176EA4"/>
          </w:rPr>
          <w:t>Enter a process cycle and boundary conditions</w:t>
        </w:r>
      </w:hyperlink>
      <w:r>
        <w:t xml:space="preserve"> </w:t>
      </w:r>
    </w:p>
    <w:p>
      <w:hyperlink r:id="rId33">
        <w:r>
          <w:rPr>
            <w:color w:val="176EA4"/>
          </w:rPr>
          <w:t>Run and review a model</w:t>
        </w:r>
      </w:hyperlink>
      <w:r>
        <w:t xml:space="preserve"> </w:t>
      </w:r>
    </w:p>
    <w:p>
      <w:hyperlink r:id="rId32">
        <w:r>
          <w:rPr>
            <w:color w:val="176EA4"/>
          </w:rPr>
          <w:t>Connected inputs and result freshness</w:t>
        </w:r>
      </w:hyperlink>
      <w:r>
        <w:t xml:space="preserve"> </w:t>
      </w:r>
    </w:p>
    <w:p>
      <w:pPr>
        <w:keepNext/>
      </w:pPr>
      <w:hyperlink r:id="rId298">
        <w:r>
          <w:rPr>
            <w:color w:val="176EA4"/>
          </w:rPr>
          <w:t>Related case study: NASA process cure</w:t>
        </w:r>
      </w:hyperlink>
      <w:r>
        <w:t xml:space="preserve"> </w:t>
      </w:r>
    </w:p>
    <w:p>
      <w:r>
        <w:t>Record the inputs, units, solver notices and checkpoint results before drawing a conclusion. When exploring a variation, change one factor at a time and compare it with the original case.</w:t>
      </w:r>
    </w:p>
    <w:p>
      <w:bookmarkStart w:id="81" w:name="chapter_81"/>
      <w:pPr>
        <w:pStyle w:val="Heading1"/>
        <w:pageBreakBefore/>
      </w:pPr>
      <w:r>
        <w:t>17 Moisture expansion + structural load</w:t>
      </w:r>
      <w:bookmarkEnd w:id="81"/>
    </w:p>
    <w:p>
      <w:pPr>
        <w:pStyle w:val="Caption"/>
      </w:pPr>
      <w:hyperlink r:id="rId35">
        <w:r>
          <w:rPr>
            <w:color w:val="176EA4"/>
          </w:rPr>
          <w:t>Online chapter</w:t>
        </w:r>
      </w:hyperlink>
      <w:r>
        <w:t xml:space="preserve"> </w:t>
      </w:r>
    </w:p>
    <w:p>
      <w:r>
        <w:t>Environmental laminate response. Finite plate. Models: Moisture diffusion, Classical laminate theory, Hygromechanical coupling.</w:t>
      </w:r>
    </w:p>
    <w:p>
      <w:hyperlink r:id="rId332">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06" name="Picture 106" descr="CDS workflow or model illustration"/>
            <wp:cNvGraphicFramePr>
              <a:graphicFrameLocks noChangeAspect="1"/>
            </wp:cNvGraphicFramePr>
            <a:graphic>
              <a:graphicData uri="http://schemas.openxmlformats.org/drawingml/2006/picture">
                <pic:pic>
                  <pic:nvPicPr>
                    <pic:cNvPr id="0" name="rsvg-4af0fbc02dc77024c610d53b7ce3a91fc4409c4aeded98aed54c86c7eab3b4df.png"/>
                    <pic:cNvPicPr/>
                  </pic:nvPicPr>
                  <pic:blipFill>
                    <a:blip r:embed="rId333"/>
                    <a:stretch>
                      <a:fillRect/>
                    </a:stretch>
                  </pic:blipFill>
                  <pic:spPr>
                    <a:xfrm>
                      <a:off x="0" y="0"/>
                      <a:ext cx="6217920" cy="3067645"/>
                    </a:xfrm>
                    <a:prstGeom prst="rect"/>
                  </pic:spPr>
                </pic:pic>
              </a:graphicData>
            </a:graphic>
          </wp:inline>
        </w:drawing>
      </w:r>
    </w:p>
    <w:p>
      <w:pPr>
        <w:pStyle w:val="Heading2"/>
      </w:pPr>
      <w:r>
        <w:t>Tasks</w:t>
      </w:r>
    </w:p>
    <w:p>
      <w:r>
        <w:t>Trace moisture conditioning and the structural load to their shared laminate; Thermal is not included.</w:t>
      </w:r>
    </w:p>
    <w:p>
      <w:r>
        <w:t>Run and compare the moisture history and moisture-expansion contribution with a dry mechanical-only copy.</w:t>
      </w:r>
    </w:p>
    <w:p>
      <w:pPr>
        <w:pStyle w:val="Heading2"/>
      </w:pPr>
      <w:r>
        <w:t>Checkpoints</w:t>
      </w:r>
    </w:p>
    <w:p>
      <w:r>
        <w:t>Thermal is deliberately disconnected.</w:t>
      </w:r>
    </w:p>
    <w:p>
      <w:r>
        <w:t>Structural coupling uses the reported moisture state and reference moisture.</w:t>
      </w:r>
    </w:p>
    <w:p>
      <w:pPr>
        <w:pStyle w:val="Heading2"/>
      </w:pPr>
      <w:r>
        <w:t>Model limits</w:t>
      </w:r>
    </w:p>
    <w:p>
      <w:r>
        <w:t>Use the solver’s reported coupling state and limits. Do not assume this constitutes a general 3D coupled finite-element model or a calibrated cure-residual-stress prediction.</w:t>
      </w:r>
    </w:p>
    <w:p>
      <w:pPr>
        <w:pStyle w:val="Heading2"/>
      </w:pPr>
      <w:r>
        <w:t>Recorded validation</w:t>
      </w:r>
    </w:p>
    <w:p>
      <w:r>
        <w:t>2026-09-18 — Not benchmark validated: No matched quantitative reference comparison completed for the full exercise.</w:t>
      </w:r>
    </w:p>
    <w:p>
      <w:r>
        <w:t>Use the solver’s reported coupling state and limits. Do not assume this constitutes a general 3D coupled finite-element model or a calibrated cure-residual-stress prediction.</w:t>
      </w:r>
    </w:p>
    <w:p>
      <w:hyperlink r:id="rId334">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transient moisture diffusion. Needs its own moisture boundary conditions and linked laminate. A separate thermal analysis can share the simulation.</w:t>
      </w:r>
    </w:p>
    <w:p>
      <w:hyperlink r:id="rId311">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Moisture to Simulation: SIMULATION selects this case and its analysis model; the case owns its applicable cycle and input references.</w:t>
      </w:r>
    </w:p>
    <w:p>
      <w:r>
        <w:t>Laminates to Moisture: Ply angles and thicknesses, stiffness, mass and ply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2">
        <w:r>
          <w:rPr>
            <w:color w:val="176EA4"/>
          </w:rPr>
          <w:t>Connected inputs and result freshness</w:t>
        </w:r>
      </w:hyperlink>
      <w:r>
        <w:t xml:space="preserve"> </w:t>
      </w:r>
    </w:p>
    <w:p>
      <w:pPr>
        <w:keepNext/>
      </w:pPr>
      <w:hyperlink r:id="rId298">
        <w:r>
          <w:rPr>
            <w:color w:val="176EA4"/>
          </w:rPr>
          <w:t>Related case study: NASA process cure</w:t>
        </w:r>
      </w:hyperlink>
      <w:r>
        <w:t xml:space="preserve"> </w:t>
      </w:r>
    </w:p>
    <w:p>
      <w:r>
        <w:t>Record the inputs, units, solver notices and checkpoint results before drawing a conclusion. When exploring a variation, change one factor at a time and compare it with the original case.</w:t>
      </w:r>
    </w:p>
    <w:p>
      <w:bookmarkStart w:id="82" w:name="chapter_82"/>
      <w:pPr>
        <w:pStyle w:val="Heading1"/>
        <w:pageBreakBefore/>
      </w:pPr>
      <w:r>
        <w:t>18 Mixed Micro recipes cure + structural response</w:t>
      </w:r>
      <w:bookmarkEnd w:id="82"/>
    </w:p>
    <w:p>
      <w:pPr>
        <w:pStyle w:val="Caption"/>
      </w:pPr>
      <w:hyperlink r:id="rId35">
        <w:r>
          <w:rPr>
            <w:color w:val="176EA4"/>
          </w:rPr>
          <w:t>Online chapter</w:t>
        </w:r>
      </w:hyperlink>
      <w:r>
        <w:t xml:space="preserve"> </w:t>
      </w:r>
    </w:p>
    <w:p>
      <w:r>
        <w:t>Environmental laminate response. Finite plate. Models: Heat transfer, Kamal–Sourour cure kinetics, CHILE cure-dependent modulus, Thermomechanical coupling, Mixed Micro recipes.</w:t>
      </w:r>
    </w:p>
    <w:p>
      <w:hyperlink r:id="rId335">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07" name="Picture 107" descr="CDS workflow or model illustration"/>
            <wp:cNvGraphicFramePr>
              <a:graphicFrameLocks noChangeAspect="1"/>
            </wp:cNvGraphicFramePr>
            <a:graphic>
              <a:graphicData uri="http://schemas.openxmlformats.org/drawingml/2006/picture">
                <pic:pic>
                  <pic:nvPicPr>
                    <pic:cNvPr id="0" name="rsvg-f02364d0bf0080affefc57f5777f1b9b5d259fd4cac8504bd3be48c77087712c.png"/>
                    <pic:cNvPicPr/>
                  </pic:nvPicPr>
                  <pic:blipFill>
                    <a:blip r:embed="rId336"/>
                    <a:stretch>
                      <a:fillRect/>
                    </a:stretch>
                  </pic:blipFill>
                  <pic:spPr>
                    <a:xfrm>
                      <a:off x="0" y="0"/>
                      <a:ext cx="6217920" cy="3067645"/>
                    </a:xfrm>
                    <a:prstGeom prst="rect"/>
                  </pic:spPr>
                </pic:pic>
              </a:graphicData>
            </a:graphic>
          </wp:inline>
        </w:drawing>
      </w:r>
    </w:p>
    <w:p>
      <w:pPr>
        <w:pStyle w:val="Heading2"/>
      </w:pPr>
      <w:r>
        <w:t>Tasks</w:t>
      </w:r>
    </w:p>
    <w:p>
      <w:r>
        <w:t>Trace alternating T700/epoxy and IM7/8552 Micro recipes and their 0.10/0.15 mm plies.</w:t>
      </w:r>
    </w:p>
    <w:p>
      <w:r>
        <w:t>Run the shared thermal/structural simulation and inspect each resin cure history and the resulting structural state.</w:t>
      </w:r>
    </w:p>
    <w:p>
      <w:pPr>
        <w:pStyle w:val="Heading2"/>
      </w:pPr>
      <w:r>
        <w:t>Checkpoints</w:t>
      </w:r>
    </w:p>
    <w:p>
      <w:r>
        <w:t>Moisture is deliberately disconnected.</w:t>
      </w:r>
    </w:p>
    <w:p>
      <w:r>
        <w:t>The total thickness is 2 mm; both constituent systems contribute to the coupled calculation.</w:t>
      </w:r>
    </w:p>
    <w:p>
      <w:pPr>
        <w:pStyle w:val="Heading2"/>
      </w:pPr>
      <w:r>
        <w:t>Model limits</w:t>
      </w:r>
    </w:p>
    <w:p>
      <w:r>
        <w:t>Use the solver’s reported coupling state and limits. Do not assume this constitutes a general 3D coupled finite-element model or a calibrated cure-residual-stress prediction.</w:t>
      </w:r>
    </w:p>
    <w:p>
      <w:pPr>
        <w:pStyle w:val="Heading2"/>
      </w:pPr>
      <w:r>
        <w:t>Recorded validation</w:t>
      </w:r>
    </w:p>
    <w:p>
      <w:r>
        <w:t>2026-09-18 — Not benchmark validated: No matched quantitative reference comparison completed for the full exercise.</w:t>
      </w:r>
    </w:p>
    <w:p>
      <w:r>
        <w:t>Use the solver’s reported coupling state and limits. Do not assume this constitutes a general 3D coupled finite-element model or a calibrated cure-residual-stress prediction.</w:t>
      </w:r>
    </w:p>
    <w:p>
      <w:hyperlink r:id="rId337">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transient heat transfer. Needs linked laminate properties and a compatible process schedule. A linked cycle is not a solved temperature history.</w:t>
      </w:r>
    </w:p>
    <w:p>
      <w:hyperlink r:id="rId45">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Thermal to Simulation: SIMULATION selects this case and its analysis model; the case owns its applicable cycle and input references.</w:t>
      </w:r>
    </w:p>
    <w:p>
      <w:r>
        <w:t>Laminates to Thermal: Ply angles and thicknesses, stiffness, mass and ply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hyperlink r:id="rId32">
        <w:r>
          <w:rPr>
            <w:color w:val="176EA4"/>
          </w:rPr>
          <w:t>Connected inputs and result freshness</w:t>
        </w:r>
      </w:hyperlink>
      <w:r>
        <w:t xml:space="preserve"> </w:t>
      </w:r>
    </w:p>
    <w:p>
      <w:pPr>
        <w:keepNext/>
      </w:pPr>
      <w:hyperlink r:id="rId298">
        <w:r>
          <w:rPr>
            <w:color w:val="176EA4"/>
          </w:rPr>
          <w:t>Related case study: NASA process cure</w:t>
        </w:r>
      </w:hyperlink>
      <w:r>
        <w:t xml:space="preserve"> </w:t>
      </w:r>
    </w:p>
    <w:p>
      <w:r>
        <w:t>Record the inputs, units, solver notices and checkpoint results before drawing a conclusion. When exploring a variation, change one factor at a time and compare it with the original case.</w:t>
      </w:r>
    </w:p>
    <w:p>
      <w:bookmarkStart w:id="83" w:name="chapter_83"/>
      <w:pPr>
        <w:pStyle w:val="Heading1"/>
        <w:pageBreakBefore/>
      </w:pPr>
      <w:r>
        <w:t>19 Cure + thermal + moisture + structural</w:t>
      </w:r>
      <w:bookmarkEnd w:id="83"/>
    </w:p>
    <w:p>
      <w:pPr>
        <w:pStyle w:val="Caption"/>
      </w:pPr>
      <w:hyperlink r:id="rId35">
        <w:r>
          <w:rPr>
            <w:color w:val="176EA4"/>
          </w:rPr>
          <w:t>Online chapter</w:t>
        </w:r>
      </w:hyperlink>
      <w:r>
        <w:t xml:space="preserve"> </w:t>
      </w:r>
    </w:p>
    <w:p>
      <w:r>
        <w:t>Environmental laminate response. Finite plate. Models: Heat transfer, Moisture diffusion, Classical laminate theory, Thermomechanical coupling, Kamal–Sourour cure kinetics, CHILE cure-dependent modulus.</w:t>
      </w:r>
    </w:p>
    <w:p>
      <w:hyperlink r:id="rId338">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104828"/>
            <wp:docPr id="108" name="Picture 108" descr="CDS workflow or model illustration"/>
            <wp:cNvGraphicFramePr>
              <a:graphicFrameLocks noChangeAspect="1"/>
            </wp:cNvGraphicFramePr>
            <a:graphic>
              <a:graphicData uri="http://schemas.openxmlformats.org/drawingml/2006/picture">
                <pic:pic>
                  <pic:nvPicPr>
                    <pic:cNvPr id="0" name="rsvg-eef7c8d77f98e5353843d2fde8c77aa7a5aaa410430b3f132b0ef53f893fbe4c.png"/>
                    <pic:cNvPicPr/>
                  </pic:nvPicPr>
                  <pic:blipFill>
                    <a:blip r:embed="rId339"/>
                    <a:stretch>
                      <a:fillRect/>
                    </a:stretch>
                  </pic:blipFill>
                  <pic:spPr>
                    <a:xfrm>
                      <a:off x="0" y="0"/>
                      <a:ext cx="6217920" cy="3104828"/>
                    </a:xfrm>
                    <a:prstGeom prst="rect"/>
                  </pic:spPr>
                </pic:pic>
              </a:graphicData>
            </a:graphic>
          </wp:inline>
        </w:drawing>
      </w:r>
    </w:p>
    <w:p>
      <w:pPr>
        <w:pStyle w:val="Heading2"/>
      </w:pPr>
      <w:r>
        <w:t>Tasks</w:t>
      </w:r>
    </w:p>
    <w:p>
      <w:r>
        <w:t>Trace all three linked analyses in Simulation, their shared laminate, separate process cycles, and the matrix cure-kinetics and cure-modulus models.</w:t>
      </w:r>
    </w:p>
    <w:p>
      <w:r>
        <w:t>Run the connected example and inspect thermal, moisture and structural outputs together.</w:t>
      </w:r>
    </w:p>
    <w:p>
      <w:r>
        <w:t>Compare with a mechanical-only copy by clearing the thermal and moisture analysis selections in Simulation; rerun and document the differences.</w:t>
      </w:r>
    </w:p>
    <w:p>
      <w:pPr>
        <w:pStyle w:val="Heading2"/>
      </w:pPr>
      <w:r>
        <w:t>Checkpoints</w:t>
      </w:r>
    </w:p>
    <w:p>
      <w:r>
        <w:t>Check reference temperature, reference moisture and the time/state used for structural coupling.</w:t>
      </w:r>
    </w:p>
    <w:p>
      <w:r>
        <w:t>Separate applied mechanical loading from thermal and moisture expansion effects.</w:t>
      </w:r>
    </w:p>
    <w:p>
      <w:pPr>
        <w:pStyle w:val="Heading2"/>
      </w:pPr>
      <w:r>
        <w:t>Model limits</w:t>
      </w:r>
    </w:p>
    <w:p>
      <w:r>
        <w:t>Use the solver’s reported coupling state and limits. Do not assume this constitutes a general 3D coupled finite-element model or a calibrated cure-residual-stress prediction.</w:t>
      </w:r>
    </w:p>
    <w:p>
      <w:pPr>
        <w:pStyle w:val="Heading2"/>
      </w:pPr>
      <w:r>
        <w:t>Recorded validation</w:t>
      </w:r>
    </w:p>
    <w:p>
      <w:r>
        <w:t>2026-09-18 — Not benchmark validated: No matched quantitative reference comparison completed for the full exercise.</w:t>
      </w:r>
    </w:p>
    <w:p>
      <w:r>
        <w:t>Use the solver’s reported coupling state and limits. Do not assume this constitutes a general 3D coupled finite-element model or a calibrated cure-residual-stress prediction.</w:t>
      </w:r>
    </w:p>
    <w:p>
      <w:hyperlink r:id="rId340">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1D transient heat transfer. Needs linked laminate properties and a compatible process schedule. A linked cycle is not a solved temperature history.</w:t>
      </w:r>
    </w:p>
    <w:p>
      <w:hyperlink r:id="rId45">
        <w:r>
          <w:rPr>
            <w:color w:val="176EA4"/>
          </w:rPr>
          <w:t>Theory and assumptions</w:t>
        </w:r>
      </w:hyperlink>
      <w:r>
        <w:t xml:space="preserve"> </w:t>
      </w:r>
    </w:p>
    <w:p>
      <w:r>
        <w:t>1D transient moisture diffusion. Needs its own moisture boundary conditions and linked laminate. A separate thermal analysis can share the simulation.</w:t>
      </w:r>
    </w:p>
    <w:p>
      <w:hyperlink r:id="rId311">
        <w:r>
          <w:rPr>
            <w:color w:val="176EA4"/>
          </w:rPr>
          <w:t>Theory and assumptions</w:t>
        </w:r>
      </w:hyperlink>
      <w:r>
        <w:t xml:space="preserve"> </w:t>
      </w:r>
    </w:p>
    <w:p>
      <w:r>
        <w:t>CLT · Linear static with failure indices. Shared laminate stiffness drives this membrane/CLT path. Failure criteria are independent comparisons, not blended models. Fatigue is a separate assessment.</w:t>
      </w:r>
    </w:p>
    <w:p>
      <w:hyperlink r:id="rId20">
        <w:r>
          <w:rPr>
            <w:color w:val="176EA4"/>
          </w:rPr>
          <w:t>Theory and assumptions</w:t>
        </w:r>
      </w:hyperlink>
      <w:r>
        <w:t xml:space="preserve"> </w:t>
      </w:r>
    </w:p>
    <w:p>
      <w:r>
        <w:t>Failure criterion · Maximum stress. Primary criterion. Additional envelope comparisons are chosen in Response → Failure; they run independently.</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Thermal to Simulation: SIMULATION selects this case and its analysis model; the case owns its applicable cycle and input references.</w:t>
      </w:r>
    </w:p>
    <w:p>
      <w:r>
        <w:t>Laminates to Thermal: Ply angles and thicknesses, stiffness, mass and ply properties.</w:t>
      </w:r>
    </w:p>
    <w:p>
      <w:r>
        <w:t>Moisture to Simulation: SIMULATION selects this case and its analysis model; the case owns its applicable cycle and input references.</w:t>
      </w:r>
    </w:p>
    <w:p>
      <w:r>
        <w:t>Laminates to Moisture: Ply angles and thicknesses, stiffness, mass and ply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23">
        <w:r>
          <w:rPr>
            <w:color w:val="176EA4"/>
          </w:rPr>
          <w:t>Connect a simulation</w:t>
        </w:r>
      </w:hyperlink>
      <w:r>
        <w:t xml:space="preserve"> </w:t>
      </w:r>
    </w:p>
    <w:p>
      <w:hyperlink r:id="rId161">
        <w:r>
          <w:rPr>
            <w:color w:val="176EA4"/>
          </w:rPr>
          <w:t>Cure exotherm and evolving modulus</w:t>
        </w:r>
      </w:hyperlink>
      <w:r>
        <w:t xml:space="preserve"> </w:t>
      </w:r>
    </w:p>
    <w:p>
      <w:hyperlink r:id="rId33">
        <w:r>
          <w:rPr>
            <w:color w:val="176EA4"/>
          </w:rPr>
          <w:t>Run and review a model</w:t>
        </w:r>
      </w:hyperlink>
      <w:r>
        <w:t xml:space="preserve"> </w:t>
      </w:r>
    </w:p>
    <w:p>
      <w:hyperlink r:id="rId32">
        <w:r>
          <w:rPr>
            <w:color w:val="176EA4"/>
          </w:rPr>
          <w:t>Connected inputs and result freshness</w:t>
        </w:r>
      </w:hyperlink>
      <w:r>
        <w:t xml:space="preserve"> </w:t>
      </w:r>
    </w:p>
    <w:p>
      <w:pPr>
        <w:keepNext/>
      </w:pPr>
      <w:hyperlink r:id="rId298">
        <w:r>
          <w:rPr>
            <w:color w:val="176EA4"/>
          </w:rPr>
          <w:t>Related case study: NASA process cure</w:t>
        </w:r>
      </w:hyperlink>
      <w:r>
        <w:t xml:space="preserve"> </w:t>
      </w:r>
    </w:p>
    <w:p>
      <w:r>
        <w:t>Record the inputs, units, solver notices and checkpoint results before drawing a conclusion. When exploring a variation, change one factor at a time and compare it with the original case.</w:t>
      </w:r>
    </w:p>
    <w:p>
      <w:bookmarkStart w:id="84" w:name="chapter_84"/>
      <w:pPr>
        <w:pStyle w:val="Heading1"/>
        <w:pageBreakBefore/>
      </w:pPr>
      <w:r>
        <w:t>20 Coupled ply damage + delamination growth</w:t>
      </w:r>
      <w:bookmarkEnd w:id="84"/>
    </w:p>
    <w:p>
      <w:pPr>
        <w:pStyle w:val="Caption"/>
      </w:pPr>
      <w:hyperlink r:id="rId35">
        <w:r>
          <w:rPr>
            <w:color w:val="176EA4"/>
          </w:rPr>
          <w:t>Online chapter</w:t>
        </w:r>
      </w:hyperlink>
      <w:r>
        <w:t xml:space="preserve"> </w:t>
      </w:r>
    </w:p>
    <w:p>
      <w:r>
        <w:t>Interlaminar fracture and ply damage. Layerwise x-z plate section. Models: Cohesive delamination growth, Progressive ply damage, Maximum stress, 2D x-z plane strain.</w:t>
      </w:r>
    </w:p>
    <w:p>
      <w:hyperlink r:id="rId341">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09" name="Picture 109" descr="CDS workflow or model illustration"/>
            <wp:cNvGraphicFramePr>
              <a:graphicFrameLocks noChangeAspect="1"/>
            </wp:cNvGraphicFramePr>
            <a:graphic>
              <a:graphicData uri="http://schemas.openxmlformats.org/drawingml/2006/picture">
                <pic:pic>
                  <pic:nvPicPr>
                    <pic:cNvPr id="0" name="rsvg-57259eccb02d5685f1c2f027367a75d7ee9f7cf96c316b95a974b802d0f5fe6f.png"/>
                    <pic:cNvPicPr/>
                  </pic:nvPicPr>
                  <pic:blipFill>
                    <a:blip r:embed="rId342"/>
                    <a:stretch>
                      <a:fillRect/>
                    </a:stretch>
                  </pic:blipFill>
                  <pic:spPr>
                    <a:xfrm>
                      <a:off x="0" y="0"/>
                      <a:ext cx="6217920" cy="3067645"/>
                    </a:xfrm>
                    <a:prstGeom prst="rect"/>
                  </pic:spPr>
                </pic:pic>
              </a:graphicData>
            </a:graphic>
          </wp:inline>
        </w:drawing>
      </w:r>
    </w:p>
    <w:p>
      <w:pPr>
        <w:pStyle w:val="Heading2"/>
      </w:pPr>
      <w:r>
        <w:t>Tasks</w:t>
      </w:r>
    </w:p>
    <w:p>
      <w:r>
        <w:t>Review the explicitly hypothetical elastic, ply-strength and cohesive inputs. This is not a carbon material qualification.</w:t>
      </w:r>
    </w:p>
    <w:p>
      <w:r>
        <w:t>Run; compare interface crack overlay, accepted-step timeline and ply damage.</w:t>
      </w:r>
    </w:p>
    <w:p>
      <w:r>
        <w:t>Refine the mesh and load increments before interpreting crack-tip location or peak load.</w:t>
      </w:r>
    </w:p>
    <w:p>
      <w:pPr>
        <w:pStyle w:val="Heading2"/>
      </w:pPr>
      <w:r>
        <w:t>Checkpoints</w:t>
      </w:r>
    </w:p>
    <w:p>
      <w:r>
        <w:t>The section contains two 1 mm layers and a 0.5 mm initial interface crack.</w:t>
      </w:r>
    </w:p>
    <w:p>
      <w:r>
        <w:t>Both interface damage and ply damage are updated within the same equilibrium solution; thermal and moisture coupling are not included.</w:t>
      </w:r>
    </w:p>
    <w:p>
      <w:pPr>
        <w:pStyle w:val="Heading2"/>
      </w:pPr>
      <w:r>
        <w:t>Model limits</w:t>
      </w:r>
    </w:p>
    <w:p>
      <w:r>
        <w:t>Mechanical-only x-z reference-state demonstration coupling cohesive interfaces and in-plane ply damage. No thermal/moisture residual loading, out-of-plane ply failure or full 3D validation. Assumed teaching strengths and fracture energies; never a design certification.</w:t>
      </w:r>
    </w:p>
    <w:p>
      <w:pPr>
        <w:pStyle w:val="Heading2"/>
      </w:pPr>
      <w:r>
        <w:t>Recorded validation</w:t>
      </w:r>
    </w:p>
    <w:p>
      <w:r>
        <w:t>2026-09-18 — Not benchmark validated: No matched quantitative reference comparison completed for the full exercise.</w:t>
      </w:r>
    </w:p>
    <w:p>
      <w:r>
        <w:t>Mechanical-only x-z reference-state demonstration coupling cohesive interfaces and in-plane ply damage. No thermal/moisture residual loading, out-of-plane ply failure or full 3D validation. Assumed teaching strengths and fracture energies; never a design certification.</w:t>
      </w:r>
    </w:p>
    <w:p>
      <w:hyperlink r:id="rId343">
        <w:r>
          <w:rPr>
            <w:color w:val="176EA4"/>
          </w:rPr>
          <w:t>Validation evidence and tested inputs</w:t>
        </w:r>
      </w:hyperlink>
      <w:r>
        <w:t xml:space="preserve"> </w:t>
      </w:r>
    </w:p>
    <w:p>
      <w:pPr>
        <w:pStyle w:val="Heading2"/>
      </w:pPr>
      <w:r>
        <w:t>Connected models and submodels</w:t>
      </w:r>
    </w:p>
    <w:p>
      <w:r>
        <w:t>Layerwise x-z plane strain. Mechanical-only layerwise Plate section. Cohesive growth is active only when coupled growth is selected and calibrated.</w:t>
      </w:r>
    </w:p>
    <w:p>
      <w:hyperlink r:id="rId344">
        <w:r>
          <w:rPr>
            <w:color w:val="176EA4"/>
          </w:rPr>
          <w:t>Theory and assumptions</w:t>
        </w:r>
      </w:hyperlink>
      <w:r>
        <w:t xml:space="preserve"> </w:t>
      </w:r>
    </w:p>
    <w:p>
      <w:r>
        <w:t>Coupled delamination growth. Mechanical-only layerwise section. Interface and ply damage re-equilibrate together.</w:t>
      </w:r>
    </w:p>
    <w:p>
      <w:r>
        <w:t>Cohesive interfaces · bilinear mixed-mode. Calibrated interface stiffness, strengths and fracture energies.</w:t>
      </w:r>
    </w:p>
    <w:p>
      <w:r>
        <w:t xml:space="preserve">Quadratic traction initiation. </w:t>
      </w:r>
    </w:p>
    <w:p>
      <w:r>
        <w:t>Benzeggagh–Kenane mixed-mode evolution. Mode mix frozen at initiation; mode III energy equals mode II.</w:t>
      </w:r>
    </w:p>
    <w:p>
      <w:r>
        <w:t>Ply damage · Maximum stress. In-plane ply criterion with calibrated stiffness retention.</w:t>
      </w:r>
    </w:p>
    <w:p>
      <w:pPr>
        <w:pStyle w:val="Heading2"/>
      </w:pPr>
      <w:r>
        <w:t>Data between modules</w:t>
      </w:r>
    </w:p>
    <w:p>
      <w:r>
        <w:t>Materials to Laminates: Stored ply stiffness, strength, density and expansion properties.</w:t>
      </w:r>
    </w:p>
    <w:p>
      <w:r>
        <w:t>Mechanical to Simulation: SIMULATION selects this case and its analysis model; the case owns its applicable cycle and input references.</w:t>
      </w:r>
    </w:p>
    <w:p>
      <w:r>
        <w:t>Laminates to Mechanical: Ply angles and thicknesses, stiffness, mass and ply properties.</w:t>
      </w:r>
    </w:p>
    <w:p>
      <w:r>
        <w:t>Geometry to Mechanical: Shape and dimensions for the selected structural analysis.</w:t>
      </w:r>
    </w:p>
    <w:p>
      <w:r>
        <w:t>Simulation to Optimization: Linked inputs and current-property response for candidate evaluation.</w:t>
      </w:r>
    </w:p>
    <w:p>
      <w:pPr>
        <w:pStyle w:val="Heading2"/>
      </w:pPr>
      <w:r>
        <w:t>References</w:t>
      </w:r>
    </w:p>
    <w:p>
      <w:hyperlink r:id="rId29">
        <w:r>
          <w:rPr>
            <w:color w:val="176EA4"/>
          </w:rPr>
          <w:t>Edit material properties and units</w:t>
        </w:r>
      </w:hyperlink>
      <w:r>
        <w:t xml:space="preserve"> </w:t>
      </w:r>
    </w:p>
    <w:p>
      <w:hyperlink r:id="rId236">
        <w:r>
          <w:rPr>
            <w:color w:val="176EA4"/>
          </w:rPr>
          <w:t>Through-thickness section analysis and assumptions</w:t>
        </w:r>
      </w:hyperlink>
      <w:r>
        <w:t xml:space="preserve"> </w:t>
      </w:r>
    </w:p>
    <w:p>
      <w:hyperlink r:id="rId33">
        <w:r>
          <w:rPr>
            <w:color w:val="176EA4"/>
          </w:rPr>
          <w:t>Run and review a model</w:t>
        </w:r>
      </w:hyperlink>
      <w:r>
        <w:t xml:space="preserve"> </w:t>
      </w:r>
    </w:p>
    <w:p>
      <w:hyperlink r:id="rId32">
        <w:r>
          <w:rPr>
            <w:color w:val="176EA4"/>
          </w:rPr>
          <w:t>Connected inputs and result freshness</w:t>
        </w:r>
      </w:hyperlink>
      <w:r>
        <w:t xml:space="preserve"> </w:t>
      </w:r>
    </w:p>
    <w:p>
      <w:pPr>
        <w:keepNext/>
      </w:pPr>
      <w:hyperlink r:id="rId128">
        <w:r>
          <w:rPr>
            <w:color w:val="176EA4"/>
          </w:rPr>
          <w:t>Edit laminate materials, angles and thicknesses</w:t>
        </w:r>
      </w:hyperlink>
      <w:r>
        <w:t xml:space="preserve"> </w:t>
      </w:r>
    </w:p>
    <w:p>
      <w:r>
        <w:t>Record the inputs, units, solver notices and checkpoint results before drawing a conclusion. When exploring a variation, change one factor at a time and compare it with the original case.</w:t>
      </w:r>
    </w:p>
    <w:p>
      <w:bookmarkStart w:id="85" w:name="chapter_85"/>
      <w:pPr>
        <w:pStyle w:val="Heading1"/>
        <w:pageBreakBefore/>
      </w:pPr>
      <w:r>
        <w:t>D6641 Compression coupon</w:t>
      </w:r>
      <w:bookmarkEnd w:id="85"/>
    </w:p>
    <w:p>
      <w:pPr>
        <w:pStyle w:val="Caption"/>
      </w:pPr>
      <w:hyperlink r:id="rId35">
        <w:r>
          <w:rPr>
            <w:color w:val="176EA4"/>
          </w:rPr>
          <w:t>Online chapter</w:t>
        </w:r>
      </w:hyperlink>
      <w:r>
        <w:t xml:space="preserve"> </w:t>
      </w:r>
    </w:p>
    <w:p>
      <w:r>
        <w:t>ASTM · Virtual Test Lab. Study-specific dimensions. Models: Virtual test · compression coupon.</w:t>
      </w:r>
    </w:p>
    <w:p>
      <w:hyperlink r:id="rId345">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10" name="Picture 110" descr="CDS workflow or model illustration"/>
            <wp:cNvGraphicFramePr>
              <a:graphicFrameLocks noChangeAspect="1"/>
            </wp:cNvGraphicFramePr>
            <a:graphic>
              <a:graphicData uri="http://schemas.openxmlformats.org/drawingml/2006/picture">
                <pic:pic>
                  <pic:nvPicPr>
                    <pic:cNvPr id="0" name="rsvg-86b750df2caa155732fb13ba3bfe80835d7245a38c6b17ce167a588c88018e47.png"/>
                    <pic:cNvPicPr/>
                  </pic:nvPicPr>
                  <pic:blipFill>
                    <a:blip r:embed="rId346"/>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Uniform small-strain compression using linked laminate Ex and thickness. Measured compressive strength supplies a screening ratio; fixture, tabs, buckling and failure evolution are not simulated.</w:t>
      </w:r>
    </w:p>
    <w:p>
      <w:pPr>
        <w:pStyle w:val="Heading2"/>
      </w:pPr>
      <w:r>
        <w:t>Recorded validation</w:t>
      </w:r>
    </w:p>
    <w:p>
      <w:r>
        <w:t>2026-09-18 — Not benchmark validated: No matched quantitative reference comparison completed for the full exercise.</w:t>
      </w:r>
    </w:p>
    <w:p>
      <w:r>
        <w:t>Uniform small-strain compression using linked laminate Ex and thickness. Measured compressive strength supplies a screening ratio; fixture, tabs, buckling and failure evolution are not simulated.</w:t>
      </w:r>
    </w:p>
    <w:p>
      <w:hyperlink r:id="rId347">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Virtual test · compression coupon. Uniform small-strain compression using linked laminate Ex and thickness. Measured compressive strength supplies a screening ratio; fixture, tabs, buckling and failure evolution are not simulated.</w:t>
      </w:r>
    </w:p>
    <w:p>
      <w:hyperlink r:id="rId348">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Specimen width: 25 mm. </w:t>
      </w:r>
    </w:p>
    <w:p>
      <w:r>
        <w:t xml:space="preserve">Gauge length: 25 mm. </w:t>
      </w:r>
    </w:p>
    <w:p>
      <w:r>
        <w:t>Applied force: 1000 N. Positive magnitude. Compression is reported as a magnitude.</w:t>
      </w:r>
    </w:p>
    <w:p>
      <w:r>
        <w:t xml:space="preserve">Measured compressive strength: 400 MPa.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49">
        <w:r>
          <w:rPr>
            <w:color w:val="176EA4"/>
          </w:rPr>
          <w:t>ASTM Virtual Test Lab: equations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86" w:name="chapter_86"/>
      <w:pPr>
        <w:pStyle w:val="Heading1"/>
        <w:pageBreakBefore/>
      </w:pPr>
      <w:r>
        <w:t>D5379 / D7078 Shear coupon</w:t>
      </w:r>
      <w:bookmarkEnd w:id="86"/>
    </w:p>
    <w:p>
      <w:pPr>
        <w:pStyle w:val="Caption"/>
      </w:pPr>
      <w:hyperlink r:id="rId35">
        <w:r>
          <w:rPr>
            <w:color w:val="176EA4"/>
          </w:rPr>
          <w:t>Online chapter</w:t>
        </w:r>
      </w:hyperlink>
      <w:r>
        <w:t xml:space="preserve"> </w:t>
      </w:r>
    </w:p>
    <w:p>
      <w:r>
        <w:t>ASTM · Virtual Test Lab. Study-specific dimensions. Models: Virtual test · nominal shear coupon.</w:t>
      </w:r>
    </w:p>
    <w:p>
      <w:hyperlink r:id="rId350">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11" name="Picture 111" descr="CDS workflow or model illustration"/>
            <wp:cNvGraphicFramePr>
              <a:graphicFrameLocks noChangeAspect="1"/>
            </wp:cNvGraphicFramePr>
            <a:graphic>
              <a:graphicData uri="http://schemas.openxmlformats.org/drawingml/2006/picture">
                <pic:pic>
                  <pic:nvPicPr>
                    <pic:cNvPr id="0" name="rsvg-32d4a72930013bdc716a852d47c646b96a53b9230bd32b390586cefe04b73ec4.png"/>
                    <pic:cNvPicPr/>
                  </pic:nvPicPr>
                  <pic:blipFill>
                    <a:blip r:embed="rId351"/>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Uniform nominal shear between notches using linked laminate Gxy and thickness. Not a notch/fixture stress field or nonlinear shear solution. Gauge length is the effective shear deformation length, not crosshead travel.</w:t>
      </w:r>
    </w:p>
    <w:p>
      <w:pPr>
        <w:pStyle w:val="Heading2"/>
      </w:pPr>
      <w:r>
        <w:t>Recorded validation</w:t>
      </w:r>
    </w:p>
    <w:p>
      <w:r>
        <w:t>2026-09-18 — Not benchmark validated: No matched quantitative reference comparison completed for the full exercise.</w:t>
      </w:r>
    </w:p>
    <w:p>
      <w:r>
        <w:t>Uniform nominal shear between notches using linked laminate Gxy and thickness. Not a notch/fixture stress field or nonlinear shear solution. Gauge length is the effective shear deformation length, not crosshead travel.</w:t>
      </w:r>
    </w:p>
    <w:p>
      <w:hyperlink r:id="rId352">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Virtual test · nominal shear coupon. Uniform nominal shear between notches using linked laminate Gxy and thickness. Not a notch/fixture stress field or nonlinear shear solution. Gauge length is the effective shear deformation length, not crosshead travel.</w:t>
      </w:r>
    </w:p>
    <w:p>
      <w:hyperlink r:id="rId353">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Net section width: 12 mm. </w:t>
      </w:r>
    </w:p>
    <w:p>
      <w:r>
        <w:t xml:space="preserve">Shear gauge length: 10 mm. </w:t>
      </w:r>
    </w:p>
    <w:p>
      <w:r>
        <w:t xml:space="preserve">Applied force: 500 N. </w:t>
      </w:r>
    </w:p>
    <w:p>
      <w:r>
        <w:t xml:space="preserve">Measured shear strength: 80 MPa.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49">
        <w:r>
          <w:rPr>
            <w:color w:val="176EA4"/>
          </w:rPr>
          <w:t>ASTM Virtual Test Lab: equations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87" w:name="chapter_87"/>
      <w:pPr>
        <w:pStyle w:val="Heading1"/>
        <w:pageBreakBefore/>
      </w:pPr>
      <w:r>
        <w:t>D5528 DCB opening</w:t>
      </w:r>
      <w:bookmarkEnd w:id="87"/>
    </w:p>
    <w:p>
      <w:pPr>
        <w:pStyle w:val="Caption"/>
      </w:pPr>
      <w:hyperlink r:id="rId35">
        <w:r>
          <w:rPr>
            <w:color w:val="176EA4"/>
          </w:rPr>
          <w:t>Online chapter</w:t>
        </w:r>
      </w:hyperlink>
      <w:r>
        <w:t xml:space="preserve"> </w:t>
      </w:r>
    </w:p>
    <w:p>
      <w:r>
        <w:t>ASTM · Virtual Test Lab. Study-specific dimensions. Models: Virtual test · DCB beam compliance.</w:t>
      </w:r>
    </w:p>
    <w:p>
      <w:hyperlink r:id="rId354">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12" name="Picture 112" descr="CDS workflow or model illustration"/>
            <wp:cNvGraphicFramePr>
              <a:graphicFrameLocks noChangeAspect="1"/>
            </wp:cNvGraphicFramePr>
            <a:graphic>
              <a:graphicData uri="http://schemas.openxmlformats.org/drawingml/2006/picture">
                <pic:pic>
                  <pic:nvPicPr>
                    <pic:cNvPr id="0" name="rsvg-20047af5270b4040748eeea4d2350dc6a232b58834adeef5a1f823449f9ac065.png"/>
                    <pic:cNvPicPr/>
                  </pic:nvPicPr>
                  <pic:blipFill>
                    <a:blip r:embed="rId355"/>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Ideal Euler–Bernoulli DCB with equal homogeneous 0° arms, each half the linked laminate thickness. No root rotation, shear, large displacement or cohesive growth. Critical load is an initiation estimate from supplied GIc.</w:t>
      </w:r>
    </w:p>
    <w:p>
      <w:pPr>
        <w:pStyle w:val="Heading2"/>
      </w:pPr>
      <w:r>
        <w:t>Recorded validation</w:t>
      </w:r>
    </w:p>
    <w:p>
      <w:r>
        <w:t>2026-09-18 — Not benchmark validated: No matched quantitative reference comparison completed for the full exercise.</w:t>
      </w:r>
    </w:p>
    <w:p>
      <w:r>
        <w:t>Ideal Euler–Bernoulli DCB with equal homogeneous 0° arms, each half the linked laminate thickness. No root rotation, shear, large displacement or cohesive growth. Critical load is an initiation estimate from supplied GIc.</w:t>
      </w:r>
    </w:p>
    <w:p>
      <w:hyperlink r:id="rId356">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Virtual test · DCB beam compliance. Ideal Euler–Bernoulli DCB with equal homogeneous 0° arms, each half the linked laminate thickness. No root rotation, shear, large displacement or cohesive growth. Critical load is an initiation estimate from supplied GIc.</w:t>
      </w:r>
    </w:p>
    <w:p>
      <w:hyperlink r:id="rId357">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Specimen width: 25 mm. </w:t>
      </w:r>
    </w:p>
    <w:p>
      <w:r>
        <w:t xml:space="preserve">Crack length: 30 mm. </w:t>
      </w:r>
    </w:p>
    <w:p>
      <w:r>
        <w:t xml:space="preserve">Applied force: 5 N. </w:t>
      </w:r>
    </w:p>
    <w:p>
      <w:r>
        <w:t>Critical fracture energy: 0.3 N/mm. Measured fracture energy; default is hypothetical.</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49">
        <w:r>
          <w:rPr>
            <w:color w:val="176EA4"/>
          </w:rPr>
          <w:t>ASTM Virtual Test Lab: equations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88" w:name="chapter_88"/>
      <w:pPr>
        <w:pStyle w:val="Heading1"/>
        <w:pageBreakBefore/>
      </w:pPr>
      <w:r>
        <w:t>D7905 ENF sliding</w:t>
      </w:r>
      <w:bookmarkEnd w:id="88"/>
    </w:p>
    <w:p>
      <w:pPr>
        <w:pStyle w:val="Caption"/>
      </w:pPr>
      <w:hyperlink r:id="rId35">
        <w:r>
          <w:rPr>
            <w:color w:val="176EA4"/>
          </w:rPr>
          <w:t>Online chapter</w:t>
        </w:r>
      </w:hyperlink>
      <w:r>
        <w:t xml:space="preserve"> </w:t>
      </w:r>
    </w:p>
    <w:p>
      <w:r>
        <w:t>ASTM · Virtual Test Lab. Study-specific dimensions. Models: Virtual test · ENF beam compliance.</w:t>
      </w:r>
    </w:p>
    <w:p>
      <w:hyperlink r:id="rId358">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13" name="Picture 113" descr="CDS workflow or model illustration"/>
            <wp:cNvGraphicFramePr>
              <a:graphicFrameLocks noChangeAspect="1"/>
            </wp:cNvGraphicFramePr>
            <a:graphic>
              <a:graphicData uri="http://schemas.openxmlformats.org/drawingml/2006/picture">
                <pic:pic>
                  <pic:nvPicPr>
                    <pic:cNvPr id="0" name="rsvg-50a17eed2a3cac2192485f945631bc0d697827acaa7cd21aaff1283f99cb9481.png"/>
                    <pic:cNvPicPr/>
                  </pic:nvPicPr>
                  <pic:blipFill>
                    <a:blip r:embed="rId359"/>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Ideal equal-arm, homogeneous 0° ENF beam; support span is twice the half-span. Crack must be shorter than the half-span. No shear/root correction or unstable crack growth. GIIc is supplied, not fitted automatically.</w:t>
      </w:r>
    </w:p>
    <w:p>
      <w:pPr>
        <w:pStyle w:val="Heading2"/>
      </w:pPr>
      <w:r>
        <w:t>Recorded validation</w:t>
      </w:r>
    </w:p>
    <w:p>
      <w:r>
        <w:t>2026-09-18 — Not benchmark validated: No matched quantitative reference comparison completed for the full exercise.</w:t>
      </w:r>
    </w:p>
    <w:p>
      <w:r>
        <w:t>Ideal equal-arm, homogeneous 0° ENF beam; support span is twice the half-span. Crack must be shorter than the half-span. No shear/root correction or unstable crack growth. GIIc is supplied, not fitted automatically.</w:t>
      </w:r>
    </w:p>
    <w:p>
      <w:hyperlink r:id="rId360">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Virtual test · ENF beam compliance. Ideal equal-arm, homogeneous 0° ENF beam; support span is twice the half-span. Crack must be shorter than the half-span. No shear/root correction or unstable crack growth. GIIc is supplied, not fitted automatically.</w:t>
      </w:r>
    </w:p>
    <w:p>
      <w:hyperlink r:id="rId361">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Specimen width: 25 mm. </w:t>
      </w:r>
    </w:p>
    <w:p>
      <w:r>
        <w:t xml:space="preserve">Crack length: 30 mm. </w:t>
      </w:r>
    </w:p>
    <w:p>
      <w:r>
        <w:t xml:space="preserve">Applied force: 5 N. </w:t>
      </w:r>
    </w:p>
    <w:p>
      <w:r>
        <w:t>Critical fracture energy: 0.3 N/mm. Measured fracture energy; default is hypothetical.</w:t>
      </w:r>
    </w:p>
    <w:p>
      <w:r>
        <w:t xml:space="preserve">Support half-span: 50 mm.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49">
        <w:r>
          <w:rPr>
            <w:color w:val="176EA4"/>
          </w:rPr>
          <w:t>ASTM Virtual Test Lab: equations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89" w:name="chapter_89"/>
      <w:pPr>
        <w:pStyle w:val="Heading1"/>
        <w:pageBreakBefore/>
      </w:pPr>
      <w:r>
        <w:t>D6671 Mixed-mode fracture envelope</w:t>
      </w:r>
      <w:bookmarkEnd w:id="89"/>
    </w:p>
    <w:p>
      <w:pPr>
        <w:pStyle w:val="Caption"/>
      </w:pPr>
      <w:hyperlink r:id="rId35">
        <w:r>
          <w:rPr>
            <w:color w:val="176EA4"/>
          </w:rPr>
          <w:t>Online chapter</w:t>
        </w:r>
      </w:hyperlink>
      <w:r>
        <w:t xml:space="preserve"> </w:t>
      </w:r>
    </w:p>
    <w:p>
      <w:r>
        <w:t>ASTM · Virtual Test Lab. Study-specific dimensions. Models: Virtual test · BK mixed-mode envelope.</w:t>
      </w:r>
    </w:p>
    <w:p>
      <w:hyperlink r:id="rId362">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14" name="Picture 114" descr="CDS workflow or model illustration"/>
            <wp:cNvGraphicFramePr>
              <a:graphicFrameLocks noChangeAspect="1"/>
            </wp:cNvGraphicFramePr>
            <a:graphic>
              <a:graphicData uri="http://schemas.openxmlformats.org/drawingml/2006/picture">
                <pic:pic>
                  <pic:nvPicPr>
                    <pic:cNvPr id="0" name="rsvg-e73171a784c62fba104726089b4523b324a68f379049f46339ccaf95235b783f.png"/>
                    <pic:cNvPicPr/>
                  </pic:nvPicPr>
                  <pic:blipFill>
                    <a:blip r:embed="rId363"/>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Benzeggagh–Kenane envelope from calibrated GIc, GIIc and exponent. Supplied GI/GII are energy-release rates from a separate test reduction or analysis. This does not resolve the MMB lever fixture or propagate a crack.</w:t>
      </w:r>
    </w:p>
    <w:p>
      <w:pPr>
        <w:pStyle w:val="Heading2"/>
      </w:pPr>
      <w:r>
        <w:t>Recorded validation</w:t>
      </w:r>
    </w:p>
    <w:p>
      <w:r>
        <w:t>2026-09-18 — Not benchmark validated: No matched quantitative reference comparison completed for the full exercise.</w:t>
      </w:r>
    </w:p>
    <w:p>
      <w:r>
        <w:t>Benzeggagh–Kenane envelope from calibrated GIc, GIIc and exponent. Supplied GI/GII are energy-release rates from a separate test reduction or analysis. This does not resolve the MMB lever fixture or propagate a crack.</w:t>
      </w:r>
    </w:p>
    <w:p>
      <w:hyperlink r:id="rId364">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Virtual test · BK mixed-mode envelope. Benzeggagh–Kenane envelope from calibrated GIc, GIIc and exponent. Supplied GI/GII are energy-release rates from a separate test reduction or analysis. This does not resolve the MMB lever fixture or propagate a crack.</w:t>
      </w:r>
    </w:p>
    <w:p>
      <w:hyperlink r:id="rId365">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Mode I toughness: 0.3 N/mm. </w:t>
      </w:r>
    </w:p>
    <w:p>
      <w:r>
        <w:t xml:space="preserve">Mode II toughness: 0.9 N/mm. </w:t>
      </w:r>
    </w:p>
    <w:p>
      <w:r>
        <w:t xml:space="preserve">BK exponent: 1.6 —. </w:t>
      </w:r>
    </w:p>
    <w:p>
      <w:r>
        <w:t xml:space="preserve">Applied GI: 0.1 N/mm. </w:t>
      </w:r>
    </w:p>
    <w:p>
      <w:r>
        <w:t xml:space="preserve">Applied GII: 0.2 N/mm.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49">
        <w:r>
          <w:rPr>
            <w:color w:val="176EA4"/>
          </w:rPr>
          <w:t>ASTM Virtual Test Lab: equations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90" w:name="chapter_90"/>
      <w:pPr>
        <w:pStyle w:val="Heading1"/>
        <w:pageBreakBefore/>
      </w:pPr>
      <w:r>
        <w:t>D5229 Moisture uptake calibration</w:t>
      </w:r>
      <w:bookmarkEnd w:id="90"/>
    </w:p>
    <w:p>
      <w:pPr>
        <w:pStyle w:val="Caption"/>
      </w:pPr>
      <w:hyperlink r:id="rId35">
        <w:r>
          <w:rPr>
            <w:color w:val="176EA4"/>
          </w:rPr>
          <w:t>Online chapter</w:t>
        </w:r>
      </w:hyperlink>
      <w:r>
        <w:t xml:space="preserve"> </w:t>
      </w:r>
    </w:p>
    <w:p>
      <w:r>
        <w:t>ASTM · Virtual Test Lab. Study-specific dimensions. Models: Virtual test · Fickian uptake calibration.</w:t>
      </w:r>
    </w:p>
    <w:p>
      <w:hyperlink r:id="rId366">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15" name="Picture 115" descr="CDS workflow or model illustration"/>
            <wp:cNvGraphicFramePr>
              <a:graphicFrameLocks noChangeAspect="1"/>
            </wp:cNvGraphicFramePr>
            <a:graphic>
              <a:graphicData uri="http://schemas.openxmlformats.org/drawingml/2006/picture">
                <pic:pic>
                  <pic:nvPicPr>
                    <pic:cNvPr id="0" name="rsvg-56be68ff77f3dd61600d498280bf3e47382de85d35c6b7d19dc4655bee126870.png"/>
                    <pic:cNvPicPr/>
                  </pic:nvPicPr>
                  <pic:blipFill>
                    <a:blip r:embed="rId367"/>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pStyle w:val="Heading2"/>
      </w:pPr>
      <w:r>
        <w:t>Recorded validation</w:t>
      </w:r>
    </w:p>
    <w:p>
      <w:r>
        <w:t>2026-09-18 — Not benchmark validated: No matched quantitative reference comparison completed for the full exercise.</w:t>
      </w:r>
    </w:p>
    <w:p>
      <w: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hyperlink r:id="rId368">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Virtual test · Fickian uptake calibration. 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hyperlink r:id="rId369">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Equilibrium mass gain: 1 percent. </w:t>
      </w:r>
    </w:p>
    <w:p>
      <w:r>
        <w:t xml:space="preserve">Measurement time 1: 1 h. </w:t>
      </w:r>
    </w:p>
    <w:p>
      <w:r>
        <w:t xml:space="preserve">Mass gain 1: 0.05 percent. </w:t>
      </w:r>
    </w:p>
    <w:p>
      <w:r>
        <w:t xml:space="preserve">Measurement time 2: 4 h. </w:t>
      </w:r>
    </w:p>
    <w:p>
      <w:r>
        <w:t xml:space="preserve">Mass gain 2: 0.1 percent. </w:t>
      </w:r>
    </w:p>
    <w:p>
      <w:r>
        <w:t xml:space="preserve">Conditioning duration: 100 h.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49">
        <w:r>
          <w:rPr>
            <w:color w:val="176EA4"/>
          </w:rPr>
          <w:t>ASTM Virtual Test Lab: equations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91" w:name="chapter_91"/>
      <w:pPr>
        <w:pStyle w:val="Heading1"/>
        <w:pageBreakBefore/>
      </w:pPr>
      <w:r>
        <w:t>D5961 Bearing / bypass screening</w:t>
      </w:r>
      <w:bookmarkEnd w:id="91"/>
    </w:p>
    <w:p>
      <w:pPr>
        <w:pStyle w:val="Caption"/>
      </w:pPr>
      <w:hyperlink r:id="rId35">
        <w:r>
          <w:rPr>
            <w:color w:val="176EA4"/>
          </w:rPr>
          <w:t>Online chapter</w:t>
        </w:r>
      </w:hyperlink>
      <w:r>
        <w:t xml:space="preserve"> </w:t>
      </w:r>
    </w:p>
    <w:p>
      <w:r>
        <w:t>ASTM · Virtual Test Lab. Study-specific dimensions. Models: Virtual test · bearing bypass screening.</w:t>
      </w:r>
    </w:p>
    <w:p>
      <w:hyperlink r:id="rId370">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16" name="Picture 116" descr="CDS workflow or model illustration"/>
            <wp:cNvGraphicFramePr>
              <a:graphicFrameLocks noChangeAspect="1"/>
            </wp:cNvGraphicFramePr>
            <a:graphic>
              <a:graphicData uri="http://schemas.openxmlformats.org/drawingml/2006/picture">
                <pic:pic>
                  <pic:nvPicPr>
                    <pic:cNvPr id="0" name="rsvg-cb96c24bfdcef7f4f3ab136cb068895ab1b3a7996c262c3102d5b1fbab66d987.png"/>
                    <pic:cNvPicPr/>
                  </pic:nvPicPr>
                  <pic:blipFill>
                    <a:blip r:embed="rId371"/>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Single-pin nominal bearing, net-section and shear-out checks with independent measured allowables. Bypass tension is added to net-section load only. No contact, bolt preload, load redistribution or validated bearing–bypass interaction envelope.</w:t>
      </w:r>
    </w:p>
    <w:p>
      <w:pPr>
        <w:pStyle w:val="Heading2"/>
      </w:pPr>
      <w:r>
        <w:t>Recorded validation</w:t>
      </w:r>
    </w:p>
    <w:p>
      <w:r>
        <w:t>2026-09-18 — Not benchmark validated: No matched quantitative reference comparison completed for the full exercise.</w:t>
      </w:r>
    </w:p>
    <w:p>
      <w:r>
        <w:t>Single-pin nominal bearing, net-section and shear-out checks with independent measured allowables. Bypass tension is added to net-section load only. No contact, bolt preload, load redistribution or validated bearing–bypass interaction envelope.</w:t>
      </w:r>
    </w:p>
    <w:p>
      <w:hyperlink r:id="rId372">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Virtual test · bearing bypass screening. Single-pin nominal bearing, net-section and shear-out checks with independent measured allowables. Bypass tension is added to net-section load only. No contact, bolt preload, load redistribution or validated bearing–bypass interaction envelope.</w:t>
      </w:r>
    </w:p>
    <w:p>
      <w:hyperlink r:id="rId373">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Specimen width: 36 mm. </w:t>
      </w:r>
    </w:p>
    <w:p>
      <w:r>
        <w:t xml:space="preserve">Hole diameter: 6 mm. </w:t>
      </w:r>
    </w:p>
    <w:p>
      <w:r>
        <w:t>Edge distance: 18 mm. Hole center to loaded free edge.</w:t>
      </w:r>
    </w:p>
    <w:p>
      <w:r>
        <w:t xml:space="preserve">Pin force: 1000 N. </w:t>
      </w:r>
    </w:p>
    <w:p>
      <w:r>
        <w:t xml:space="preserve">Bypass tensile force: 500 N. </w:t>
      </w:r>
    </w:p>
    <w:p>
      <w:r>
        <w:t xml:space="preserve">Bearing allowable: 300 MPa. </w:t>
      </w:r>
    </w:p>
    <w:p>
      <w:r>
        <w:t xml:space="preserve">Net tensile allowable: 400 MPa. </w:t>
      </w:r>
    </w:p>
    <w:p>
      <w:r>
        <w:t xml:space="preserve">Shear-out allowable: 80 MPa.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49">
        <w:r>
          <w:rPr>
            <w:color w:val="176EA4"/>
          </w:rPr>
          <w:t>ASTM Virtual Test Lab: equations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92" w:name="chapter_92"/>
      <w:pPr>
        <w:pStyle w:val="Heading1"/>
        <w:pageBreakBefore/>
      </w:pPr>
      <w:r>
        <w:t>D6484 Open-hole compression</w:t>
      </w:r>
      <w:bookmarkEnd w:id="92"/>
    </w:p>
    <w:p>
      <w:pPr>
        <w:pStyle w:val="Caption"/>
      </w:pPr>
      <w:hyperlink r:id="rId35">
        <w:r>
          <w:rPr>
            <w:color w:val="176EA4"/>
          </w:rPr>
          <w:t>Online chapter</w:t>
        </w:r>
      </w:hyperlink>
      <w:r>
        <w:t xml:space="preserve"> </w:t>
      </w:r>
    </w:p>
    <w:p>
      <w:r>
        <w:t>ASTM · Virtual Test Lab. Study-specific dimensions. Models: Virtual test · measured open-hole compression.</w:t>
      </w:r>
    </w:p>
    <w:p>
      <w:hyperlink r:id="rId374">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17" name="Picture 117" descr="CDS workflow or model illustration"/>
            <wp:cNvGraphicFramePr>
              <a:graphicFrameLocks noChangeAspect="1"/>
            </wp:cNvGraphicFramePr>
            <a:graphic>
              <a:graphicData uri="http://schemas.openxmlformats.org/drawingml/2006/picture">
                <pic:pic>
                  <pic:nvPicPr>
                    <pic:cNvPr id="0" name="rsvg-b01eb62a63749e3045a204f78c0ac64a3c6cee7132dfd3cac7a868500af5b401.png"/>
                    <pic:cNvPicPr/>
                  </pic:nvPicPr>
                  <pic:blipFill>
                    <a:blip r:embed="rId375"/>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Nominal gross/net stress and demand relative to measured open-hole compressive strength for this geometry and layup. This is test-data screening, not an uncalibrated notch-strength prediction. No local buckling or kink-band simulation.</w:t>
      </w:r>
    </w:p>
    <w:p>
      <w:pPr>
        <w:pStyle w:val="Heading2"/>
      </w:pPr>
      <w:r>
        <w:t>Recorded validation</w:t>
      </w:r>
    </w:p>
    <w:p>
      <w:r>
        <w:t>2026-09-18 — Not benchmark validated: No matched quantitative reference comparison completed for the full exercise.</w:t>
      </w:r>
    </w:p>
    <w:p>
      <w:r>
        <w:t>Nominal gross/net stress and demand relative to measured open-hole compressive strength for this geometry and layup. This is test-data screening, not an uncalibrated notch-strength prediction. No local buckling or kink-band simulation.</w:t>
      </w:r>
    </w:p>
    <w:p>
      <w:hyperlink r:id="rId376">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Virtual test · measured open-hole compression. Nominal gross/net stress and demand relative to measured open-hole compressive strength for this geometry and layup. This is test-data screening, not an uncalibrated notch-strength prediction. No local buckling or kink-band simulation.</w:t>
      </w:r>
    </w:p>
    <w:p>
      <w:hyperlink r:id="rId377">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Specimen width: 36 mm. </w:t>
      </w:r>
    </w:p>
    <w:p>
      <w:r>
        <w:t xml:space="preserve">Hole diameter: 6 mm. </w:t>
      </w:r>
    </w:p>
    <w:p>
      <w:r>
        <w:t xml:space="preserve">Applied force: 1000 N. </w:t>
      </w:r>
    </w:p>
    <w:p>
      <w:r>
        <w:t xml:space="preserve">Measured open-hole compressive strength: 250 MPa.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49">
        <w:r>
          <w:rPr>
            <w:color w:val="176EA4"/>
          </w:rPr>
          <w:t>ASTM Virtual Test Lab: equations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93" w:name="chapter_93"/>
      <w:pPr>
        <w:pStyle w:val="Heading1"/>
        <w:pageBreakBefore/>
      </w:pPr>
      <w:r>
        <w:t>D6742 Filled-hole comparison</w:t>
      </w:r>
      <w:bookmarkEnd w:id="93"/>
    </w:p>
    <w:p>
      <w:pPr>
        <w:pStyle w:val="Caption"/>
      </w:pPr>
      <w:hyperlink r:id="rId35">
        <w:r>
          <w:rPr>
            <w:color w:val="176EA4"/>
          </w:rPr>
          <w:t>Online chapter</w:t>
        </w:r>
      </w:hyperlink>
      <w:r>
        <w:t xml:space="preserve"> </w:t>
      </w:r>
    </w:p>
    <w:p>
      <w:r>
        <w:t>ASTM · Virtual Test Lab. Study-specific dimensions. Models: Virtual test · measured filled-hole comparison.</w:t>
      </w:r>
    </w:p>
    <w:p>
      <w:hyperlink r:id="rId378">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18" name="Picture 118" descr="CDS workflow or model illustration"/>
            <wp:cNvGraphicFramePr>
              <a:graphicFrameLocks noChangeAspect="1"/>
            </wp:cNvGraphicFramePr>
            <a:graphic>
              <a:graphicData uri="http://schemas.openxmlformats.org/drawingml/2006/picture">
                <pic:pic>
                  <pic:nvPicPr>
                    <pic:cNvPr id="0" name="rsvg-f93989db6333521537c59db817140817fee2e73177722285ed7a515fe6929be7.png"/>
                    <pic:cNvPicPr/>
                  </pic:nvPicPr>
                  <pic:blipFill>
                    <a:blip r:embed="rId379"/>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Compares user-measured open- and filled-hole compressive strengths using gross-section stress. Use matched layup, hole, environment and fastener condition. Filling a hole does not automatically recover strength; no fastener contact/preload model is applied.</w:t>
      </w:r>
    </w:p>
    <w:p>
      <w:pPr>
        <w:pStyle w:val="Heading2"/>
      </w:pPr>
      <w:r>
        <w:t>Recorded validation</w:t>
      </w:r>
    </w:p>
    <w:p>
      <w:r>
        <w:t>2026-09-18 — Not benchmark validated: No matched quantitative reference comparison completed for the full exercise.</w:t>
      </w:r>
    </w:p>
    <w:p>
      <w:r>
        <w:t>Compares user-measured open- and filled-hole compressive strengths using gross-section stress. Use matched layup, hole, environment and fastener condition. Filling a hole does not automatically recover strength; no fastener contact/preload model is applied.</w:t>
      </w:r>
    </w:p>
    <w:p>
      <w:hyperlink r:id="rId380">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Virtual test · measured filled-hole comparison. Compares user-measured open- and filled-hole compressive strengths using gross-section stress. Use matched layup, hole, environment and fastener condition. Filling a hole does not automatically recover strength; no fastener contact/preload model is applied.</w:t>
      </w:r>
    </w:p>
    <w:p>
      <w:hyperlink r:id="rId381">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Specimen width: 36 mm. </w:t>
      </w:r>
    </w:p>
    <w:p>
      <w:r>
        <w:t xml:space="preserve">Hole diameter: 6 mm. </w:t>
      </w:r>
    </w:p>
    <w:p>
      <w:r>
        <w:t xml:space="preserve">Applied force: 1000 N. </w:t>
      </w:r>
    </w:p>
    <w:p>
      <w:r>
        <w:t xml:space="preserve">Measured open-hole compressive strength: 250 MPa. </w:t>
      </w:r>
    </w:p>
    <w:p>
      <w:r>
        <w:t xml:space="preserve">Measured filled-hole compressive strength: 300 MPa.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49">
        <w:r>
          <w:rPr>
            <w:color w:val="176EA4"/>
          </w:rPr>
          <w:t>ASTM Virtual Test Lab: equations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94" w:name="chapter_94"/>
      <w:pPr>
        <w:pStyle w:val="Heading1"/>
        <w:pageBreakBefore/>
      </w:pPr>
      <w:r>
        <w:t>D7136 / D7137 Impact CAI assessment</w:t>
      </w:r>
      <w:bookmarkEnd w:id="94"/>
    </w:p>
    <w:p>
      <w:pPr>
        <w:pStyle w:val="Caption"/>
      </w:pPr>
      <w:hyperlink r:id="rId35">
        <w:r>
          <w:rPr>
            <w:color w:val="176EA4"/>
          </w:rPr>
          <w:t>Online chapter</w:t>
        </w:r>
      </w:hyperlink>
      <w:r>
        <w:t xml:space="preserve"> </w:t>
      </w:r>
    </w:p>
    <w:p>
      <w:r>
        <w:t>ASTM · Virtual Test Lab. Study-specific dimensions. Models: Virtual test · measured impact and CAI.</w:t>
      </w:r>
    </w:p>
    <w:p>
      <w:hyperlink r:id="rId382">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19" name="Picture 119" descr="CDS workflow or model illustration"/>
            <wp:cNvGraphicFramePr>
              <a:graphicFrameLocks noChangeAspect="1"/>
            </wp:cNvGraphicFramePr>
            <a:graphic>
              <a:graphicData uri="http://schemas.openxmlformats.org/drawingml/2006/picture">
                <pic:pic>
                  <pic:nvPicPr>
                    <pic:cNvPr id="0" name="rsvg-e912ddc3490ca568c30c2d619b7580fd271929d1170cea1e70b3d40e83641040.png"/>
                    <pic:cNvPicPr/>
                  </pic:nvPicPr>
                  <pic:blipFill>
                    <a:blip r:embed="rId383"/>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pStyle w:val="Heading2"/>
      </w:pPr>
      <w:r>
        <w:t>Recorded validation</w:t>
      </w:r>
    </w:p>
    <w:p>
      <w:r>
        <w:t>2026-09-18 — Not benchmark validated: No matched quantitative reference comparison completed for the full exercise.</w:t>
      </w:r>
    </w:p>
    <w:p>
      <w:r>
        <w:t>Incident energy from measured impact velocity; residual compressive strength from measured peak CAI force. Rebound energy estimates energy not returned to the striker, NOT damage energy. No impact/contact solver, damage-area prediction or energy-to-strength extrapolation.</w:t>
      </w:r>
    </w:p>
    <w:p>
      <w:hyperlink r:id="rId384">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Virtual test · measured impact and CAI. Incident energy from measured impact velocity; residual compressive strength from measured peak CAI force. Rebound energy estimates energy not returned to the striker, NOT damage energy. No impact/contact solver, damage-area prediction or energy-to-strength extrapolation.</w:t>
      </w:r>
    </w:p>
    <w:p>
      <w:hyperlink r:id="rId385">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Impactor mass: 5 kg. </w:t>
      </w:r>
    </w:p>
    <w:p>
      <w:r>
        <w:t xml:space="preserve">Impact speed: 2 m/s. </w:t>
      </w:r>
    </w:p>
    <w:p>
      <w:r>
        <w:t xml:space="preserve">Rebound speed: 0.5 m/s. </w:t>
      </w:r>
    </w:p>
    <w:p>
      <w:r>
        <w:t xml:space="preserve">Specimen width: 100 mm. </w:t>
      </w:r>
    </w:p>
    <w:p>
      <w:r>
        <w:t xml:space="preserve">Measured CAI peak force: 30000 N. </w:t>
      </w:r>
    </w:p>
    <w:p>
      <w:r>
        <w:t xml:space="preserve">Measured pristine compressive strength: 400 MPa.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49">
        <w:r>
          <w:rPr>
            <w:color w:val="176EA4"/>
          </w:rPr>
          <w:t>ASTM Virtual Test Lab: equations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95" w:name="chapter_95"/>
      <w:pPr>
        <w:pStyle w:val="Heading1"/>
        <w:pageBreakBefore/>
      </w:pPr>
      <w:r>
        <w:t>Wiener series and parallel</w:t>
      </w:r>
      <w:bookmarkEnd w:id="95"/>
    </w:p>
    <w:p>
      <w:pPr>
        <w:pStyle w:val="Caption"/>
      </w:pPr>
      <w:hyperlink r:id="rId35">
        <w:r>
          <w:rPr>
            <w:color w:val="176EA4"/>
          </w:rPr>
          <w:t>Online chapter</w:t>
        </w:r>
      </w:hyperlink>
      <w:r>
        <w:t xml:space="preserve"> </w:t>
      </w:r>
    </w:p>
    <w:p>
      <w:r>
        <w:t>Wiener series and parallel. Study-specific dimensions. Models: EM · Wiener series and parallel.</w:t>
      </w:r>
    </w:p>
    <w:p>
      <w:hyperlink r:id="rId386">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20" name="Picture 120" descr="CDS workflow or model illustration"/>
            <wp:cNvGraphicFramePr>
              <a:graphicFrameLocks noChangeAspect="1"/>
            </wp:cNvGraphicFramePr>
            <a:graphic>
              <a:graphicData uri="http://schemas.openxmlformats.org/drawingml/2006/picture">
                <pic:pic>
                  <pic:nvPicPr>
                    <pic:cNvPr id="0" name="rsvg-41820258f0051d515557e7da1002d64ba8edbf261554ac42f2e972e34466befc.png"/>
                    <pic:cNvPicPr/>
                  </pic:nvPicPr>
                  <pic:blipFill>
                    <a:blip r:embed="rId387"/>
                    <a:stretch>
                      <a:fillRect/>
                    </a:stretch>
                  </pic:blipFill>
                  <pic:spPr>
                    <a:xfrm>
                      <a:off x="0" y="0"/>
                      <a:ext cx="6217920" cy="3067645"/>
                    </a:xfrm>
                    <a:prstGeom prst="rect"/>
                  </pic:spPr>
                </pic:pic>
              </a:graphicData>
            </a:graphic>
          </wp:inline>
        </w:drawing>
      </w:r>
    </w:p>
    <w:p>
      <w:pPr>
        <w:pStyle w:val="Heading2"/>
      </w:pPr>
      <w:r>
        <w:t>Setup</w:t>
      </w:r>
    </w:p>
    <w:p>
      <w:r>
        <w:t>Explicit dielectric teaching inputs. Mechanical laminate properties are not used in this separate RF study.</w:t>
      </w:r>
    </w:p>
    <w:p>
      <w:pPr>
        <w:pStyle w:val="Heading2"/>
      </w:pPr>
      <w:r>
        <w:t>Tasks</w:t>
      </w:r>
    </w:p>
    <w:p>
      <w:r>
        <w:t>Review the explicit EM phase properties, frequency and model scope.</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Positive lossless dielectric bounds; complex directional estimates. Positive-permittivity, passive, nonmagnetic RF screening only. This separate study uses explicit EM inputs, not mechanical or cure properties. Illustrative defaults are not measured T700 properties.</w:t>
      </w:r>
    </w:p>
    <w:p>
      <w:pPr>
        <w:pStyle w:val="Heading2"/>
      </w:pPr>
      <w:r>
        <w:t>Recorded validation</w:t>
      </w:r>
    </w:p>
    <w:p>
      <w:r>
        <w:t>2026-09-18 — Not benchmark validated: No matched quantitative reference comparison completed for the full exercise.</w:t>
      </w:r>
    </w:p>
    <w:p>
      <w:r>
        <w:t>Positive lossless dielectric bounds; complex directional estimates. Positive-permittivity, passive, nonmagnetic RF screening only. This separate study uses explicit EM inputs, not mechanical or cure properties. Illustrative defaults are not measured T700 properties.</w:t>
      </w:r>
    </w:p>
    <w:p>
      <w:hyperlink r:id="rId388">
        <w:r>
          <w:rPr>
            <w:color w:val="176EA4"/>
          </w:rPr>
          <w:t>Validation evidence and tested inputs</w:t>
        </w:r>
      </w:hyperlink>
      <w:r>
        <w:t xml:space="preserve"> </w:t>
      </w:r>
    </w:p>
    <w:p>
      <w:pPr>
        <w:pStyle w:val="Heading2"/>
      </w:pPr>
      <w:r>
        <w:t>Connected models and submodels</w:t>
      </w:r>
    </w:p>
    <w:p>
      <w:r>
        <w:t>EM · Wiener series and parallel. Positive lossless dielectric bounds; complex directional estimates. Positive-permittivity, passive, nonmagnetic RF screening only. This separate study uses explicit EM inputs, not mechanical or cure properties. Illustrative defaults are not measured T700 properties.</w:t>
      </w:r>
    </w:p>
    <w:p>
      <w:hyperlink r:id="rId389">
        <w:r>
          <w:rPr>
            <w:color w:val="176EA4"/>
          </w:rPr>
          <w:t>Theory and assumptions</w:t>
        </w:r>
      </w:hyperlink>
      <w:r>
        <w:t xml:space="preserve"> </w:t>
      </w:r>
    </w:p>
    <w:p>
      <w:r>
        <w:t>Explicit dielectric inputs → RF result. Independent EM study. Mechanical, cure, thermal and moisture properties are not consumed. Effective-medium handoff to a TMM layer is manual.</w:t>
      </w:r>
    </w:p>
    <w:p>
      <w:r>
        <w:t xml:space="preserve">EM field and material controls. </w:t>
      </w:r>
    </w:p>
    <w:p>
      <w:r>
        <w:t xml:space="preserve">Frequency: 10 GHz. </w:t>
      </w:r>
    </w:p>
    <w:p>
      <w:r>
        <w:t>Host permittivity: 3 —. Positive real relative permittivity; measured at the study frequency.</w:t>
      </w:r>
    </w:p>
    <w:p>
      <w:r>
        <w:t>Host loss tangent: 0.01 —. Dielectric loss only; do not count conductivity twice.</w:t>
      </w:r>
    </w:p>
    <w:p>
      <w:r>
        <w:t xml:space="preserve">Host conductivity: 0 S/m. </w:t>
      </w:r>
    </w:p>
    <w:p>
      <w:r>
        <w:t>Inclusion permittivity: 8 —. Positive real relative permittivity; measured at the study frequency.</w:t>
      </w:r>
    </w:p>
    <w:p>
      <w:r>
        <w:t>Inclusion loss tangent: 0.01 —. Dielectric loss only; do not count conductivity twice.</w:t>
      </w:r>
    </w:p>
    <w:p>
      <w:r>
        <w:t xml:space="preserve">Inclusion conductivity: 0 S/m. </w:t>
      </w:r>
    </w:p>
    <w:p>
      <w:r>
        <w:t xml:space="preserve">Inclusion fraction: 0.1 —. </w:t>
      </w:r>
    </w:p>
    <w:p>
      <w:pPr>
        <w:pStyle w:val="Heading2"/>
      </w:pPr>
      <w:r>
        <w:t>Data between modules</w:t>
      </w:r>
    </w:p>
    <w:p>
      <w:r>
        <w:t>EM to Simulation: SIMULATION selects this case and its analysis model; the case owns its applicable cycle and input references.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96" w:name="chapter_96"/>
      <w:pPr>
        <w:pStyle w:val="Heading1"/>
        <w:pageBreakBefore/>
      </w:pPr>
      <w:r>
        <w:t>Looyenga / Landau Lifshitz Looyenga</w:t>
      </w:r>
      <w:bookmarkEnd w:id="96"/>
    </w:p>
    <w:p>
      <w:pPr>
        <w:pStyle w:val="Caption"/>
      </w:pPr>
      <w:hyperlink r:id="rId35">
        <w:r>
          <w:rPr>
            <w:color w:val="176EA4"/>
          </w:rPr>
          <w:t>Online chapter</w:t>
        </w:r>
      </w:hyperlink>
      <w:r>
        <w:t xml:space="preserve"> </w:t>
      </w:r>
    </w:p>
    <w:p>
      <w:r>
        <w:t>Looyenga / Landau–Lifshitz–Looyenga. Study-specific dimensions. Models: EM · Looyenga / Landau–Lifshitz–Looyenga.</w:t>
      </w:r>
    </w:p>
    <w:p>
      <w:hyperlink r:id="rId391">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21" name="Picture 121" descr="CDS workflow or model illustration"/>
            <wp:cNvGraphicFramePr>
              <a:graphicFrameLocks noChangeAspect="1"/>
            </wp:cNvGraphicFramePr>
            <a:graphic>
              <a:graphicData uri="http://schemas.openxmlformats.org/drawingml/2006/picture">
                <pic:pic>
                  <pic:nvPicPr>
                    <pic:cNvPr id="0" name="rsvg-3e7d865d2a72e640e9f87303f9bf1eff00ec5009f3afb92593068555d5c8587b.png"/>
                    <pic:cNvPicPr/>
                  </pic:nvPicPr>
                  <pic:blipFill>
                    <a:blip r:embed="rId392"/>
                    <a:stretch>
                      <a:fillRect/>
                    </a:stretch>
                  </pic:blipFill>
                  <pic:spPr>
                    <a:xfrm>
                      <a:off x="0" y="0"/>
                      <a:ext cx="6217920" cy="3067645"/>
                    </a:xfrm>
                    <a:prstGeom prst="rect"/>
                  </pic:spPr>
                </pic:pic>
              </a:graphicData>
            </a:graphic>
          </wp:inline>
        </w:drawing>
      </w:r>
    </w:p>
    <w:p>
      <w:pPr>
        <w:pStyle w:val="Heading2"/>
      </w:pPr>
      <w:r>
        <w:t>Setup</w:t>
      </w:r>
    </w:p>
    <w:p>
      <w:r>
        <w:t>Explicit dielectric teaching inputs. Mechanical laminate properties are not used in this separate RF study.</w:t>
      </w:r>
    </w:p>
    <w:p>
      <w:pPr>
        <w:pStyle w:val="Heading2"/>
      </w:pPr>
      <w:r>
        <w:t>Tasks</w:t>
      </w:r>
    </w:p>
    <w:p>
      <w:r>
        <w:t>Review the explicit EM phase properties, frequency and model scope.</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One cube-root mixing law, not two independent models. Positive-permittivity, passive, nonmagnetic RF screening only. This separate study uses explicit EM inputs, not mechanical or cure properties. Illustrative defaults are not measured T700 properties.</w:t>
      </w:r>
    </w:p>
    <w:p>
      <w:pPr>
        <w:pStyle w:val="Heading2"/>
      </w:pPr>
      <w:r>
        <w:t>Recorded validation</w:t>
      </w:r>
    </w:p>
    <w:p>
      <w:r>
        <w:t>2026-09-18 — Not benchmark validated: No matched quantitative reference comparison completed for the full exercise.</w:t>
      </w:r>
    </w:p>
    <w:p>
      <w:r>
        <w:t>One cube-root mixing law, not two independent models. Positive-permittivity, passive, nonmagnetic RF screening only. This separate study uses explicit EM inputs, not mechanical or cure properties. Illustrative defaults are not measured T700 properties.</w:t>
      </w:r>
    </w:p>
    <w:p>
      <w:hyperlink r:id="rId393">
        <w:r>
          <w:rPr>
            <w:color w:val="176EA4"/>
          </w:rPr>
          <w:t>Validation evidence and tested inputs</w:t>
        </w:r>
      </w:hyperlink>
      <w:r>
        <w:t xml:space="preserve"> </w:t>
      </w:r>
    </w:p>
    <w:p>
      <w:pPr>
        <w:pStyle w:val="Heading2"/>
      </w:pPr>
      <w:r>
        <w:t>Connected models and submodels</w:t>
      </w:r>
    </w:p>
    <w:p>
      <w:r>
        <w:t>EM · Looyenga / Landau–Lifshitz–Looyenga. One cube-root mixing law, not two independent models. Positive-permittivity, passive, nonmagnetic RF screening only. This separate study uses explicit EM inputs, not mechanical or cure properties. Illustrative defaults are not measured T700 properties.</w:t>
      </w:r>
    </w:p>
    <w:p>
      <w:hyperlink r:id="rId394">
        <w:r>
          <w:rPr>
            <w:color w:val="176EA4"/>
          </w:rPr>
          <w:t>Theory and assumptions</w:t>
        </w:r>
      </w:hyperlink>
      <w:r>
        <w:t xml:space="preserve"> </w:t>
      </w:r>
    </w:p>
    <w:p>
      <w:r>
        <w:t>Explicit dielectric inputs → RF result. Independent EM study. Mechanical, cure, thermal and moisture properties are not consumed. Effective-medium handoff to a TMM layer is manual.</w:t>
      </w:r>
    </w:p>
    <w:p>
      <w:r>
        <w:t xml:space="preserve">EM field and material controls. </w:t>
      </w:r>
    </w:p>
    <w:p>
      <w:r>
        <w:t xml:space="preserve">Frequency: 10 GHz. </w:t>
      </w:r>
    </w:p>
    <w:p>
      <w:r>
        <w:t>Host permittivity: 3 —. Positive real relative permittivity; measured at the study frequency.</w:t>
      </w:r>
    </w:p>
    <w:p>
      <w:r>
        <w:t>Host loss tangent: 0.01 —. Dielectric loss only; do not count conductivity twice.</w:t>
      </w:r>
    </w:p>
    <w:p>
      <w:r>
        <w:t xml:space="preserve">Host conductivity: 0 S/m. </w:t>
      </w:r>
    </w:p>
    <w:p>
      <w:r>
        <w:t>Inclusion permittivity: 8 —. Positive real relative permittivity; measured at the study frequency.</w:t>
      </w:r>
    </w:p>
    <w:p>
      <w:r>
        <w:t>Inclusion loss tangent: 0.01 —. Dielectric loss only; do not count conductivity twice.</w:t>
      </w:r>
    </w:p>
    <w:p>
      <w:r>
        <w:t xml:space="preserve">Inclusion conductivity: 0 S/m. </w:t>
      </w:r>
    </w:p>
    <w:p>
      <w:r>
        <w:t xml:space="preserve">Inclusion fraction: 0.1 —. </w:t>
      </w:r>
    </w:p>
    <w:p>
      <w:pPr>
        <w:pStyle w:val="Heading2"/>
      </w:pPr>
      <w:r>
        <w:t>Data between modules</w:t>
      </w:r>
    </w:p>
    <w:p>
      <w:r>
        <w:t>EM to Simulation: SIMULATION selects this case and its analysis model; the case owns its applicable cycle and input references.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97" w:name="chapter_97"/>
      <w:pPr>
        <w:pStyle w:val="Heading1"/>
        <w:pageBreakBefore/>
      </w:pPr>
      <w:r>
        <w:t>Maxwell Garnett</w:t>
      </w:r>
      <w:bookmarkEnd w:id="97"/>
    </w:p>
    <w:p>
      <w:pPr>
        <w:pStyle w:val="Caption"/>
      </w:pPr>
      <w:hyperlink r:id="rId35">
        <w:r>
          <w:rPr>
            <w:color w:val="176EA4"/>
          </w:rPr>
          <w:t>Online chapter</w:t>
        </w:r>
      </w:hyperlink>
      <w:r>
        <w:t xml:space="preserve"> </w:t>
      </w:r>
    </w:p>
    <w:p>
      <w:r>
        <w:t>Maxwell–Garnett. Study-specific dimensions. Models: EM · Maxwell–Garnett.</w:t>
      </w:r>
    </w:p>
    <w:p>
      <w:hyperlink r:id="rId395">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22" name="Picture 122" descr="CDS workflow or model illustration"/>
            <wp:cNvGraphicFramePr>
              <a:graphicFrameLocks noChangeAspect="1"/>
            </wp:cNvGraphicFramePr>
            <a:graphic>
              <a:graphicData uri="http://schemas.openxmlformats.org/drawingml/2006/picture">
                <pic:pic>
                  <pic:nvPicPr>
                    <pic:cNvPr id="0" name="rsvg-1aef40df5e145cf6f965c085f4ee00c40d7a74565b18a07f22d6900982c7d36d.png"/>
                    <pic:cNvPicPr/>
                  </pic:nvPicPr>
                  <pic:blipFill>
                    <a:blip r:embed="rId396"/>
                    <a:stretch>
                      <a:fillRect/>
                    </a:stretch>
                  </pic:blipFill>
                  <pic:spPr>
                    <a:xfrm>
                      <a:off x="0" y="0"/>
                      <a:ext cx="6217920" cy="3067645"/>
                    </a:xfrm>
                    <a:prstGeom prst="rect"/>
                  </pic:spPr>
                </pic:pic>
              </a:graphicData>
            </a:graphic>
          </wp:inline>
        </w:drawing>
      </w:r>
    </w:p>
    <w:p>
      <w:pPr>
        <w:pStyle w:val="Heading2"/>
      </w:pPr>
      <w:r>
        <w:t>Setup</w:t>
      </w:r>
    </w:p>
    <w:p>
      <w:r>
        <w:t>Explicit dielectric teaching inputs. Mechanical laminate properties are not used in this separate RF study.</w:t>
      </w:r>
    </w:p>
    <w:p>
      <w:pPr>
        <w:pStyle w:val="Heading2"/>
      </w:pPr>
      <w:r>
        <w:t>Tasks</w:t>
      </w:r>
    </w:p>
    <w:p>
      <w:r>
        <w:t>Review the explicit EM phase properties, frequency and model scope.</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Dilute subwavelength spherical inclusions in a host. Positive-permittivity, passive, nonmagnetic RF screening only. This separate study uses explicit EM inputs, not mechanical or cure properties. Illustrative defaults are not measured T700 properties.</w:t>
      </w:r>
    </w:p>
    <w:p>
      <w:pPr>
        <w:pStyle w:val="Heading2"/>
      </w:pPr>
      <w:r>
        <w:t>Recorded validation</w:t>
      </w:r>
    </w:p>
    <w:p>
      <w:r>
        <w:t>2026-09-18 — Not benchmark validated: No matched quantitative reference comparison completed for the full exercise.</w:t>
      </w:r>
    </w:p>
    <w:p>
      <w:r>
        <w:t>Dilute subwavelength spherical inclusions in a host. Positive-permittivity, passive, nonmagnetic RF screening only. This separate study uses explicit EM inputs, not mechanical or cure properties. Illustrative defaults are not measured T700 properties.</w:t>
      </w:r>
    </w:p>
    <w:p>
      <w:hyperlink r:id="rId397">
        <w:r>
          <w:rPr>
            <w:color w:val="176EA4"/>
          </w:rPr>
          <w:t>Validation evidence and tested inputs</w:t>
        </w:r>
      </w:hyperlink>
      <w:r>
        <w:t xml:space="preserve"> </w:t>
      </w:r>
    </w:p>
    <w:p>
      <w:pPr>
        <w:pStyle w:val="Heading2"/>
      </w:pPr>
      <w:r>
        <w:t>Connected models and submodels</w:t>
      </w:r>
    </w:p>
    <w:p>
      <w:r>
        <w:t>EM · Maxwell–Garnett. Dilute subwavelength spherical inclusions in a host. Positive-permittivity, passive, nonmagnetic RF screening only. This separate study uses explicit EM inputs, not mechanical or cure properties. Illustrative defaults are not measured T700 properties.</w:t>
      </w:r>
    </w:p>
    <w:p>
      <w:hyperlink r:id="rId398">
        <w:r>
          <w:rPr>
            <w:color w:val="176EA4"/>
          </w:rPr>
          <w:t>Theory and assumptions</w:t>
        </w:r>
      </w:hyperlink>
      <w:r>
        <w:t xml:space="preserve"> </w:t>
      </w:r>
    </w:p>
    <w:p>
      <w:r>
        <w:t>Explicit dielectric inputs → RF result. Independent EM study. Mechanical, cure, thermal and moisture properties are not consumed. Effective-medium handoff to a TMM layer is manual.</w:t>
      </w:r>
    </w:p>
    <w:p>
      <w:r>
        <w:t xml:space="preserve">EM field and material controls. </w:t>
      </w:r>
    </w:p>
    <w:p>
      <w:r>
        <w:t xml:space="preserve">Frequency: 10 GHz. </w:t>
      </w:r>
    </w:p>
    <w:p>
      <w:r>
        <w:t>Host permittivity: 3 —. Positive real relative permittivity; measured at the study frequency.</w:t>
      </w:r>
    </w:p>
    <w:p>
      <w:r>
        <w:t>Host loss tangent: 0.01 —. Dielectric loss only; do not count conductivity twice.</w:t>
      </w:r>
    </w:p>
    <w:p>
      <w:r>
        <w:t xml:space="preserve">Host conductivity: 0 S/m. </w:t>
      </w:r>
    </w:p>
    <w:p>
      <w:r>
        <w:t>Inclusion permittivity: 8 —. Positive real relative permittivity; measured at the study frequency.</w:t>
      </w:r>
    </w:p>
    <w:p>
      <w:r>
        <w:t>Inclusion loss tangent: 0.01 —. Dielectric loss only; do not count conductivity twice.</w:t>
      </w:r>
    </w:p>
    <w:p>
      <w:r>
        <w:t xml:space="preserve">Inclusion conductivity: 0 S/m. </w:t>
      </w:r>
    </w:p>
    <w:p>
      <w:r>
        <w:t xml:space="preserve">Inclusion fraction: 0.1 —. </w:t>
      </w:r>
    </w:p>
    <w:p>
      <w:pPr>
        <w:pStyle w:val="Heading2"/>
      </w:pPr>
      <w:r>
        <w:t>Data between modules</w:t>
      </w:r>
    </w:p>
    <w:p>
      <w:r>
        <w:t>EM to Simulation: SIMULATION selects this case and its analysis model; the case owns its applicable cycle and input references.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98" w:name="chapter_98"/>
      <w:pPr>
        <w:pStyle w:val="Heading1"/>
        <w:pageBreakBefore/>
      </w:pPr>
      <w:r>
        <w:t>Normal-incidence laminate TMM</w:t>
      </w:r>
      <w:bookmarkEnd w:id="98"/>
    </w:p>
    <w:p>
      <w:pPr>
        <w:pStyle w:val="Caption"/>
      </w:pPr>
      <w:hyperlink r:id="rId35">
        <w:r>
          <w:rPr>
            <w:color w:val="176EA4"/>
          </w:rPr>
          <w:t>Online chapter</w:t>
        </w:r>
      </w:hyperlink>
      <w:r>
        <w:t xml:space="preserve"> </w:t>
      </w:r>
    </w:p>
    <w:p>
      <w:r>
        <w:t>Normal-incidence laminate TMM. Study-specific dimensions. Models: EM · Normal-incidence laminate TMM.</w:t>
      </w:r>
    </w:p>
    <w:p>
      <w:hyperlink r:id="rId399">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23" name="Picture 123" descr="CDS workflow or model illustration"/>
            <wp:cNvGraphicFramePr>
              <a:graphicFrameLocks noChangeAspect="1"/>
            </wp:cNvGraphicFramePr>
            <a:graphic>
              <a:graphicData uri="http://schemas.openxmlformats.org/drawingml/2006/picture">
                <pic:pic>
                  <pic:nvPicPr>
                    <pic:cNvPr id="0" name="rsvg-8edbf108dfc138eca97394c07e2a04e91ce8c381950accde7a1646daa925ef8d.png"/>
                    <pic:cNvPicPr/>
                  </pic:nvPicPr>
                  <pic:blipFill>
                    <a:blip r:embed="rId400"/>
                    <a:stretch>
                      <a:fillRect/>
                    </a:stretch>
                  </pic:blipFill>
                  <pic:spPr>
                    <a:xfrm>
                      <a:off x="0" y="0"/>
                      <a:ext cx="6217920" cy="3067645"/>
                    </a:xfrm>
                    <a:prstGeom prst="rect"/>
                  </pic:spPr>
                </pic:pic>
              </a:graphicData>
            </a:graphic>
          </wp:inline>
        </w:drawing>
      </w:r>
    </w:p>
    <w:p>
      <w:pPr>
        <w:pStyle w:val="Heading2"/>
      </w:pPr>
      <w:r>
        <w:t>Setup</w:t>
      </w:r>
    </w:p>
    <w:p>
      <w:r>
        <w:t>Explicit dielectric teaching inputs. Mechanical laminate properties are not used in this separate RF study.</w:t>
      </w:r>
    </w:p>
    <w:p>
      <w:pPr>
        <w:pStyle w:val="Heading2"/>
      </w:pPr>
      <w:r>
        <w:t>Tasks</w:t>
      </w:r>
    </w:p>
    <w:p>
      <w:r>
        <w:t>Review the explicit EM phase properties, frequency and model scope.</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Coherent isotropic nonmagnetic layers between air half-spaces. Positive-permittivity, passive, nonmagnetic RF screening only. This separate study uses explicit EM inputs, not mechanical or cure properties. Illustrative defaults are not measured T700 properties.</w:t>
      </w:r>
    </w:p>
    <w:p>
      <w:pPr>
        <w:pStyle w:val="Heading2"/>
      </w:pPr>
      <w:r>
        <w:t>Recorded validation</w:t>
      </w:r>
    </w:p>
    <w:p>
      <w:r>
        <w:t>2026-09-18 — Not benchmark validated: No matched quantitative reference comparison completed for the full exercise.</w:t>
      </w:r>
    </w:p>
    <w:p>
      <w:r>
        <w:t>Coherent isotropic nonmagnetic layers between air half-spaces. Positive-permittivity, passive, nonmagnetic RF screening only. This separate study uses explicit EM inputs, not mechanical or cure properties. Illustrative defaults are not measured T700 properties.</w:t>
      </w:r>
    </w:p>
    <w:p>
      <w:hyperlink r:id="rId401">
        <w:r>
          <w:rPr>
            <w:color w:val="176EA4"/>
          </w:rPr>
          <w:t>Validation evidence and tested inputs</w:t>
        </w:r>
      </w:hyperlink>
      <w:r>
        <w:t xml:space="preserve"> </w:t>
      </w:r>
    </w:p>
    <w:p>
      <w:pPr>
        <w:pStyle w:val="Heading2"/>
      </w:pPr>
      <w:r>
        <w:t>Connected models and submodels</w:t>
      </w:r>
    </w:p>
    <w:p>
      <w:r>
        <w:t>EM · Normal-incidence laminate TMM. Coherent isotropic nonmagnetic layers between air half-spaces. Positive-permittivity, passive, nonmagnetic RF screening only. This separate study uses explicit EM inputs, not mechanical or cure properties. Illustrative defaults are not measured T700 properties.</w:t>
      </w:r>
    </w:p>
    <w:p>
      <w:hyperlink r:id="rId402">
        <w:r>
          <w:rPr>
            <w:color w:val="176EA4"/>
          </w:rPr>
          <w:t>Theory and assumptions</w:t>
        </w:r>
      </w:hyperlink>
      <w:r>
        <w:t xml:space="preserve"> </w:t>
      </w:r>
    </w:p>
    <w:p>
      <w:r>
        <w:t>Explicit dielectric inputs → RF result. Independent EM study. Mechanical, cure, thermal and moisture properties are not consumed. Effective-medium handoff to a TMM layer is manual.</w:t>
      </w:r>
    </w:p>
    <w:p>
      <w:r>
        <w:t xml:space="preserve">EM field and material controls. </w:t>
      </w:r>
    </w:p>
    <w:p>
      <w:r>
        <w:t xml:space="preserve">Frequency: 10 GHz. </w:t>
      </w:r>
    </w:p>
    <w:p>
      <w:r>
        <w:t xml:space="preserve">Frequency end: 18 GHz. </w:t>
      </w:r>
    </w:p>
    <w:p>
      <w:r>
        <w:t>Layer A permittivity: 3 —. Positive real relative permittivity; measured at the study frequency.</w:t>
      </w:r>
    </w:p>
    <w:p>
      <w:r>
        <w:t>Layer A loss tangent: 0.01 —. Dielectric loss only; do not count conductivity twice.</w:t>
      </w:r>
    </w:p>
    <w:p>
      <w:r>
        <w:t xml:space="preserve">Layer A conductivity: 0 S/m. </w:t>
      </w:r>
    </w:p>
    <w:p>
      <w:r>
        <w:t xml:space="preserve">Layer A thickness: 1 mm. </w:t>
      </w:r>
    </w:p>
    <w:p>
      <w:r>
        <w:t>Layer B permittivity: 6 —. Positive real relative permittivity; measured at the study frequency.</w:t>
      </w:r>
    </w:p>
    <w:p>
      <w:r>
        <w:t>Layer B loss tangent: 0.01 —. Dielectric loss only; do not count conductivity twice.</w:t>
      </w:r>
    </w:p>
    <w:p>
      <w:r>
        <w:t xml:space="preserve">Layer B conductivity: 0 S/m. </w:t>
      </w:r>
    </w:p>
    <w:p>
      <w:r>
        <w:t xml:space="preserve">Layer B thickness: 1 mm. </w:t>
      </w:r>
    </w:p>
    <w:p>
      <w:r>
        <w:t xml:space="preserve">AB repeat count: 1 —. </w:t>
      </w:r>
    </w:p>
    <w:p>
      <w:pPr>
        <w:pStyle w:val="Heading2"/>
      </w:pPr>
      <w:r>
        <w:t>Data between modules</w:t>
      </w:r>
    </w:p>
    <w:p>
      <w:r>
        <w:t>EM to Simulation: SIMULATION selects this case and its analysis model; the case owns its applicable cycle and input references.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99" w:name="chapter_99"/>
      <w:pPr>
        <w:pStyle w:val="Heading1"/>
        <w:pageBreakBefore/>
      </w:pPr>
      <w:r>
        <w:t>Bruggeman symmetric EMT</w:t>
      </w:r>
      <w:bookmarkEnd w:id="99"/>
    </w:p>
    <w:p>
      <w:pPr>
        <w:pStyle w:val="Caption"/>
      </w:pPr>
      <w:hyperlink r:id="rId35">
        <w:r>
          <w:rPr>
            <w:color w:val="176EA4"/>
          </w:rPr>
          <w:t>Online chapter</w:t>
        </w:r>
      </w:hyperlink>
      <w:r>
        <w:t xml:space="preserve"> </w:t>
      </w:r>
    </w:p>
    <w:p>
      <w:r>
        <w:t>Bruggeman symmetric EMT. Study-specific dimensions. Models: EM · Bruggeman symmetric EMT.</w:t>
      </w:r>
    </w:p>
    <w:p>
      <w:hyperlink r:id="rId403">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24" name="Picture 124" descr="CDS workflow or model illustration"/>
            <wp:cNvGraphicFramePr>
              <a:graphicFrameLocks noChangeAspect="1"/>
            </wp:cNvGraphicFramePr>
            <a:graphic>
              <a:graphicData uri="http://schemas.openxmlformats.org/drawingml/2006/picture">
                <pic:pic>
                  <pic:nvPicPr>
                    <pic:cNvPr id="0" name="rsvg-36d3dfe10e49d7955b9ced64330d14c724f36dffde804c8afa1a3f02d482e773.png"/>
                    <pic:cNvPicPr/>
                  </pic:nvPicPr>
                  <pic:blipFill>
                    <a:blip r:embed="rId404"/>
                    <a:stretch>
                      <a:fillRect/>
                    </a:stretch>
                  </pic:blipFill>
                  <pic:spPr>
                    <a:xfrm>
                      <a:off x="0" y="0"/>
                      <a:ext cx="6217920" cy="3067645"/>
                    </a:xfrm>
                    <a:prstGeom prst="rect"/>
                  </pic:spPr>
                </pic:pic>
              </a:graphicData>
            </a:graphic>
          </wp:inline>
        </w:drawing>
      </w:r>
    </w:p>
    <w:p>
      <w:pPr>
        <w:pStyle w:val="Heading2"/>
      </w:pPr>
      <w:r>
        <w:t>Setup</w:t>
      </w:r>
    </w:p>
    <w:p>
      <w:r>
        <w:t>Explicit dielectric teaching inputs. Mechanical laminate properties are not used in this separate RF study.</w:t>
      </w:r>
    </w:p>
    <w:p>
      <w:pPr>
        <w:pStyle w:val="Heading2"/>
      </w:pPr>
      <w:r>
        <w:t>Tasks</w:t>
      </w:r>
    </w:p>
    <w:p>
      <w:r>
        <w:t>Review the explicit EM phase properties, frequency and model scope.</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Two positive-permittivity phases; no explicit contact network. Positive-permittivity, passive, nonmagnetic RF screening only. This separate study uses explicit EM inputs, not mechanical or cure properties. Illustrative defaults are not measured T700 properties.</w:t>
      </w:r>
    </w:p>
    <w:p>
      <w:pPr>
        <w:pStyle w:val="Heading2"/>
      </w:pPr>
      <w:r>
        <w:t>Recorded validation</w:t>
      </w:r>
    </w:p>
    <w:p>
      <w:r>
        <w:t>2026-09-18 — Not benchmark validated: No matched quantitative reference comparison completed for the full exercise.</w:t>
      </w:r>
    </w:p>
    <w:p>
      <w:r>
        <w:t>Two positive-permittivity phases; no explicit contact network. Positive-permittivity, passive, nonmagnetic RF screening only. This separate study uses explicit EM inputs, not mechanical or cure properties. Illustrative defaults are not measured T700 properties.</w:t>
      </w:r>
    </w:p>
    <w:p>
      <w:hyperlink r:id="rId405">
        <w:r>
          <w:rPr>
            <w:color w:val="176EA4"/>
          </w:rPr>
          <w:t>Validation evidence and tested inputs</w:t>
        </w:r>
      </w:hyperlink>
      <w:r>
        <w:t xml:space="preserve"> </w:t>
      </w:r>
    </w:p>
    <w:p>
      <w:pPr>
        <w:pStyle w:val="Heading2"/>
      </w:pPr>
      <w:r>
        <w:t>Connected models and submodels</w:t>
      </w:r>
    </w:p>
    <w:p>
      <w:r>
        <w:t>EM · Bruggeman symmetric EMT. Two positive-permittivity phases; no explicit contact network. Positive-permittivity, passive, nonmagnetic RF screening only. This separate study uses explicit EM inputs, not mechanical or cure properties. Illustrative defaults are not measured T700 properties.</w:t>
      </w:r>
    </w:p>
    <w:p>
      <w:hyperlink r:id="rId406">
        <w:r>
          <w:rPr>
            <w:color w:val="176EA4"/>
          </w:rPr>
          <w:t>Theory and assumptions</w:t>
        </w:r>
      </w:hyperlink>
      <w:r>
        <w:t xml:space="preserve"> </w:t>
      </w:r>
    </w:p>
    <w:p>
      <w:r>
        <w:t>Explicit dielectric inputs → RF result. Independent EM study. Mechanical, cure, thermal and moisture properties are not consumed. Effective-medium handoff to a TMM layer is manual.</w:t>
      </w:r>
    </w:p>
    <w:p>
      <w:r>
        <w:t xml:space="preserve">EM field and material controls. </w:t>
      </w:r>
    </w:p>
    <w:p>
      <w:r>
        <w:t xml:space="preserve">Frequency: 10 GHz. </w:t>
      </w:r>
    </w:p>
    <w:p>
      <w:r>
        <w:t>Host permittivity: 3 —. Positive real relative permittivity; measured at the study frequency.</w:t>
      </w:r>
    </w:p>
    <w:p>
      <w:r>
        <w:t>Host loss tangent: 0.01 —. Dielectric loss only; do not count conductivity twice.</w:t>
      </w:r>
    </w:p>
    <w:p>
      <w:r>
        <w:t xml:space="preserve">Host conductivity: 0 S/m. </w:t>
      </w:r>
    </w:p>
    <w:p>
      <w:r>
        <w:t>Inclusion permittivity: 8 —. Positive real relative permittivity; measured at the study frequency.</w:t>
      </w:r>
    </w:p>
    <w:p>
      <w:r>
        <w:t>Inclusion loss tangent: 0.01 —. Dielectric loss only; do not count conductivity twice.</w:t>
      </w:r>
    </w:p>
    <w:p>
      <w:r>
        <w:t xml:space="preserve">Inclusion conductivity: 0 S/m. </w:t>
      </w:r>
    </w:p>
    <w:p>
      <w:r>
        <w:t xml:space="preserve">Inclusion fraction: 0.1 —. </w:t>
      </w:r>
    </w:p>
    <w:p>
      <w:pPr>
        <w:pStyle w:val="Heading2"/>
      </w:pPr>
      <w:r>
        <w:t>Data between modules</w:t>
      </w:r>
    </w:p>
    <w:p>
      <w:r>
        <w:t>EM to Simulation: SIMULATION selects this case and its analysis model; the case owns its applicable cycle and input references.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00" w:name="chapter_100"/>
      <w:pPr>
        <w:pStyle w:val="Heading1"/>
        <w:pageBreakBefore/>
      </w:pPr>
      <w:r>
        <w:t>EM Mori Tanaka</w:t>
      </w:r>
      <w:bookmarkEnd w:id="100"/>
    </w:p>
    <w:p>
      <w:pPr>
        <w:pStyle w:val="Caption"/>
      </w:pPr>
      <w:hyperlink r:id="rId35">
        <w:r>
          <w:rPr>
            <w:color w:val="176EA4"/>
          </w:rPr>
          <w:t>Online chapter</w:t>
        </w:r>
      </w:hyperlink>
      <w:r>
        <w:t xml:space="preserve"> </w:t>
      </w:r>
    </w:p>
    <w:p>
      <w:r>
        <w:t>EM Mori–Tanaka. Study-specific dimensions. Models: EM · EM Mori–Tanaka.</w:t>
      </w:r>
    </w:p>
    <w:p>
      <w:hyperlink r:id="rId407">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25" name="Picture 125" descr="CDS workflow or model illustration"/>
            <wp:cNvGraphicFramePr>
              <a:graphicFrameLocks noChangeAspect="1"/>
            </wp:cNvGraphicFramePr>
            <a:graphic>
              <a:graphicData uri="http://schemas.openxmlformats.org/drawingml/2006/picture">
                <pic:pic>
                  <pic:nvPicPr>
                    <pic:cNvPr id="0" name="rsvg-510a03cb708a1ef24d4349904eb898830ccd12c1e785f1ed3c9440d866152dea.png"/>
                    <pic:cNvPicPr/>
                  </pic:nvPicPr>
                  <pic:blipFill>
                    <a:blip r:embed="rId408"/>
                    <a:stretch>
                      <a:fillRect/>
                    </a:stretch>
                  </pic:blipFill>
                  <pic:spPr>
                    <a:xfrm>
                      <a:off x="0" y="0"/>
                      <a:ext cx="6217920" cy="3067645"/>
                    </a:xfrm>
                    <a:prstGeom prst="rect"/>
                  </pic:spPr>
                </pic:pic>
              </a:graphicData>
            </a:graphic>
          </wp:inline>
        </w:drawing>
      </w:r>
    </w:p>
    <w:p>
      <w:pPr>
        <w:pStyle w:val="Heading2"/>
      </w:pPr>
      <w:r>
        <w:t>Setup</w:t>
      </w:r>
    </w:p>
    <w:p>
      <w:r>
        <w:t>Explicit dielectric teaching inputs. Mechanical laminate properties are not used in this separate RF study.</w:t>
      </w:r>
    </w:p>
    <w:p>
      <w:pPr>
        <w:pStyle w:val="Heading2"/>
      </w:pPr>
      <w:r>
        <w:t>Tasks</w:t>
      </w:r>
    </w:p>
    <w:p>
      <w:r>
        <w:t>Review the explicit EM phase properties, frequency and model scope.</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Scalar principal-axis ellipsoidal field approximation. Positive-permittivity, passive, nonmagnetic RF screening only. This separate study uses explicit EM inputs, not mechanical or cure properties. Illustrative defaults are not measured T700 properties.</w:t>
      </w:r>
    </w:p>
    <w:p>
      <w:pPr>
        <w:pStyle w:val="Heading2"/>
      </w:pPr>
      <w:r>
        <w:t>Recorded validation</w:t>
      </w:r>
    </w:p>
    <w:p>
      <w:r>
        <w:t>2026-09-18 — Not benchmark validated: No matched quantitative reference comparison completed for the full exercise.</w:t>
      </w:r>
    </w:p>
    <w:p>
      <w:r>
        <w:t>Scalar principal-axis ellipsoidal field approximation. Positive-permittivity, passive, nonmagnetic RF screening only. This separate study uses explicit EM inputs, not mechanical or cure properties. Illustrative defaults are not measured T700 properties.</w:t>
      </w:r>
    </w:p>
    <w:p>
      <w:hyperlink r:id="rId409">
        <w:r>
          <w:rPr>
            <w:color w:val="176EA4"/>
          </w:rPr>
          <w:t>Validation evidence and tested inputs</w:t>
        </w:r>
      </w:hyperlink>
      <w:r>
        <w:t xml:space="preserve"> </w:t>
      </w:r>
    </w:p>
    <w:p>
      <w:pPr>
        <w:pStyle w:val="Heading2"/>
      </w:pPr>
      <w:r>
        <w:t>Connected models and submodels</w:t>
      </w:r>
    </w:p>
    <w:p>
      <w:r>
        <w:t>EM · EM Mori–Tanaka. Scalar principal-axis ellipsoidal field approximation. Positive-permittivity, passive, nonmagnetic RF screening only. This separate study uses explicit EM inputs, not mechanical or cure properties. Illustrative defaults are not measured T700 properties.</w:t>
      </w:r>
    </w:p>
    <w:p>
      <w:hyperlink r:id="rId410">
        <w:r>
          <w:rPr>
            <w:color w:val="176EA4"/>
          </w:rPr>
          <w:t>Theory and assumptions</w:t>
        </w:r>
      </w:hyperlink>
      <w:r>
        <w:t xml:space="preserve"> </w:t>
      </w:r>
    </w:p>
    <w:p>
      <w:r>
        <w:t>Explicit dielectric inputs → RF result. Independent EM study. Mechanical, cure, thermal and moisture properties are not consumed. Effective-medium handoff to a TMM layer is manual.</w:t>
      </w:r>
    </w:p>
    <w:p>
      <w:r>
        <w:t xml:space="preserve">EM field and material controls. </w:t>
      </w:r>
    </w:p>
    <w:p>
      <w:r>
        <w:t xml:space="preserve">Frequency: 10 GHz. </w:t>
      </w:r>
    </w:p>
    <w:p>
      <w:r>
        <w:t>Host permittivity: 3 —. Positive real relative permittivity; measured at the study frequency.</w:t>
      </w:r>
    </w:p>
    <w:p>
      <w:r>
        <w:t>Host loss tangent: 0.01 —. Dielectric loss only; do not count conductivity twice.</w:t>
      </w:r>
    </w:p>
    <w:p>
      <w:r>
        <w:t xml:space="preserve">Host conductivity: 0 S/m. </w:t>
      </w:r>
    </w:p>
    <w:p>
      <w:r>
        <w:t>Inclusion permittivity: 8 —. Positive real relative permittivity; measured at the study frequency.</w:t>
      </w:r>
    </w:p>
    <w:p>
      <w:r>
        <w:t>Inclusion loss tangent: 0.01 —. Dielectric loss only; do not count conductivity twice.</w:t>
      </w:r>
    </w:p>
    <w:p>
      <w:r>
        <w:t xml:space="preserve">Inclusion conductivity: 0 S/m. </w:t>
      </w:r>
    </w:p>
    <w:p>
      <w:r>
        <w:t xml:space="preserve">Inclusion fraction: 0.1 —. </w:t>
      </w:r>
    </w:p>
    <w:p>
      <w:r>
        <w:t>Depolarization factor: 0.3333333333333333 —. Principal-axis scalar approximation; 1/3 is a sphere.</w:t>
      </w:r>
    </w:p>
    <w:p>
      <w:pPr>
        <w:pStyle w:val="Heading2"/>
      </w:pPr>
      <w:r>
        <w:t>Data between modules</w:t>
      </w:r>
    </w:p>
    <w:p>
      <w:r>
        <w:t>EM to Simulation: SIMULATION selects this case and its analysis model; the case owns its applicable cycle and input references.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01" w:name="chapter_101"/>
      <w:pPr>
        <w:pStyle w:val="Heading1"/>
        <w:pageBreakBefore/>
      </w:pPr>
      <w:r>
        <w:t>EM self-consistent</w:t>
      </w:r>
      <w:bookmarkEnd w:id="101"/>
    </w:p>
    <w:p>
      <w:pPr>
        <w:pStyle w:val="Caption"/>
      </w:pPr>
      <w:hyperlink r:id="rId35">
        <w:r>
          <w:rPr>
            <w:color w:val="176EA4"/>
          </w:rPr>
          <w:t>Online chapter</w:t>
        </w:r>
      </w:hyperlink>
      <w:r>
        <w:t xml:space="preserve"> </w:t>
      </w:r>
    </w:p>
    <w:p>
      <w:r>
        <w:t>EM self-consistent. Study-specific dimensions. Models: EM · EM self-consistent.</w:t>
      </w:r>
    </w:p>
    <w:p>
      <w:hyperlink r:id="rId411">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26" name="Picture 126" descr="CDS workflow or model illustration"/>
            <wp:cNvGraphicFramePr>
              <a:graphicFrameLocks noChangeAspect="1"/>
            </wp:cNvGraphicFramePr>
            <a:graphic>
              <a:graphicData uri="http://schemas.openxmlformats.org/drawingml/2006/picture">
                <pic:pic>
                  <pic:nvPicPr>
                    <pic:cNvPr id="0" name="rsvg-9949e1420c19b919050974f3c341b24f414acef3267ffde68814c32050356325.png"/>
                    <pic:cNvPicPr/>
                  </pic:nvPicPr>
                  <pic:blipFill>
                    <a:blip r:embed="rId412"/>
                    <a:stretch>
                      <a:fillRect/>
                    </a:stretch>
                  </pic:blipFill>
                  <pic:spPr>
                    <a:xfrm>
                      <a:off x="0" y="0"/>
                      <a:ext cx="6217920" cy="3067645"/>
                    </a:xfrm>
                    <a:prstGeom prst="rect"/>
                  </pic:spPr>
                </pic:pic>
              </a:graphicData>
            </a:graphic>
          </wp:inline>
        </w:drawing>
      </w:r>
    </w:p>
    <w:p>
      <w:pPr>
        <w:pStyle w:val="Heading2"/>
      </w:pPr>
      <w:r>
        <w:t>Setup</w:t>
      </w:r>
    </w:p>
    <w:p>
      <w:r>
        <w:t>Explicit dielectric teaching inputs. Mechanical laminate properties are not used in this separate RF study.</w:t>
      </w:r>
    </w:p>
    <w:p>
      <w:pPr>
        <w:pStyle w:val="Heading2"/>
      </w:pPr>
      <w:r>
        <w:t>Tasks</w:t>
      </w:r>
    </w:p>
    <w:p>
      <w:r>
        <w:t>Review the explicit EM phase properties, frequency and model scope.</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Scalar principal-axis self-consistency; spherical case equals Bruggeman. Positive-permittivity, passive, nonmagnetic RF screening only. This separate study uses explicit EM inputs, not mechanical or cure properties. Illustrative defaults are not measured T700 properties.</w:t>
      </w:r>
    </w:p>
    <w:p>
      <w:pPr>
        <w:pStyle w:val="Heading2"/>
      </w:pPr>
      <w:r>
        <w:t>Recorded validation</w:t>
      </w:r>
    </w:p>
    <w:p>
      <w:r>
        <w:t>2026-09-18 — Not benchmark validated: No matched quantitative reference comparison completed for the full exercise.</w:t>
      </w:r>
    </w:p>
    <w:p>
      <w:r>
        <w:t>Scalar principal-axis self-consistency; spherical case equals Bruggeman. Positive-permittivity, passive, nonmagnetic RF screening only. This separate study uses explicit EM inputs, not mechanical or cure properties. Illustrative defaults are not measured T700 properties.</w:t>
      </w:r>
    </w:p>
    <w:p>
      <w:hyperlink r:id="rId413">
        <w:r>
          <w:rPr>
            <w:color w:val="176EA4"/>
          </w:rPr>
          <w:t>Validation evidence and tested inputs</w:t>
        </w:r>
      </w:hyperlink>
      <w:r>
        <w:t xml:space="preserve"> </w:t>
      </w:r>
    </w:p>
    <w:p>
      <w:pPr>
        <w:pStyle w:val="Heading2"/>
      </w:pPr>
      <w:r>
        <w:t>Connected models and submodels</w:t>
      </w:r>
    </w:p>
    <w:p>
      <w:r>
        <w:t>EM · EM self-consistent. Scalar principal-axis self-consistency; spherical case equals Bruggeman. Positive-permittivity, passive, nonmagnetic RF screening only. This separate study uses explicit EM inputs, not mechanical or cure properties. Illustrative defaults are not measured T700 properties.</w:t>
      </w:r>
    </w:p>
    <w:p>
      <w:hyperlink r:id="rId414">
        <w:r>
          <w:rPr>
            <w:color w:val="176EA4"/>
          </w:rPr>
          <w:t>Theory and assumptions</w:t>
        </w:r>
      </w:hyperlink>
      <w:r>
        <w:t xml:space="preserve"> </w:t>
      </w:r>
    </w:p>
    <w:p>
      <w:r>
        <w:t>Explicit dielectric inputs → RF result. Independent EM study. Mechanical, cure, thermal and moisture properties are not consumed. Effective-medium handoff to a TMM layer is manual.</w:t>
      </w:r>
    </w:p>
    <w:p>
      <w:r>
        <w:t xml:space="preserve">EM field and material controls. </w:t>
      </w:r>
    </w:p>
    <w:p>
      <w:r>
        <w:t xml:space="preserve">Frequency: 10 GHz. </w:t>
      </w:r>
    </w:p>
    <w:p>
      <w:r>
        <w:t>Host permittivity: 3 —. Positive real relative permittivity; measured at the study frequency.</w:t>
      </w:r>
    </w:p>
    <w:p>
      <w:r>
        <w:t>Host loss tangent: 0.01 —. Dielectric loss only; do not count conductivity twice.</w:t>
      </w:r>
    </w:p>
    <w:p>
      <w:r>
        <w:t xml:space="preserve">Host conductivity: 0 S/m. </w:t>
      </w:r>
    </w:p>
    <w:p>
      <w:r>
        <w:t>Inclusion permittivity: 8 —. Positive real relative permittivity; measured at the study frequency.</w:t>
      </w:r>
    </w:p>
    <w:p>
      <w:r>
        <w:t>Inclusion loss tangent: 0.01 —. Dielectric loss only; do not count conductivity twice.</w:t>
      </w:r>
    </w:p>
    <w:p>
      <w:r>
        <w:t xml:space="preserve">Inclusion conductivity: 0 S/m. </w:t>
      </w:r>
    </w:p>
    <w:p>
      <w:r>
        <w:t xml:space="preserve">Inclusion fraction: 0.1 —. </w:t>
      </w:r>
    </w:p>
    <w:p>
      <w:r>
        <w:t>Depolarization factor: 0.3333333333333333 —. Principal-axis scalar approximation; 1/3 is a sphere.</w:t>
      </w:r>
    </w:p>
    <w:p>
      <w:pPr>
        <w:pStyle w:val="Heading2"/>
      </w:pPr>
      <w:r>
        <w:t>Data between modules</w:t>
      </w:r>
    </w:p>
    <w:p>
      <w:r>
        <w:t>EM to Simulation: SIMULATION selects this case and its analysis model; the case owns its applicable cycle and input references.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02" w:name="chapter_102"/>
      <w:pPr>
        <w:pStyle w:val="Heading1"/>
        <w:pageBreakBefore/>
      </w:pPr>
      <w:r>
        <w:t>Differential effective medium</w:t>
      </w:r>
      <w:bookmarkEnd w:id="102"/>
    </w:p>
    <w:p>
      <w:pPr>
        <w:pStyle w:val="Caption"/>
      </w:pPr>
      <w:hyperlink r:id="rId35">
        <w:r>
          <w:rPr>
            <w:color w:val="176EA4"/>
          </w:rPr>
          <w:t>Online chapter</w:t>
        </w:r>
      </w:hyperlink>
      <w:r>
        <w:t xml:space="preserve"> </w:t>
      </w:r>
    </w:p>
    <w:p>
      <w:r>
        <w:t>Differential effective medium. Study-specific dimensions. Models: EM · Differential effective medium.</w:t>
      </w:r>
    </w:p>
    <w:p>
      <w:hyperlink r:id="rId415">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27" name="Picture 127" descr="CDS workflow or model illustration"/>
            <wp:cNvGraphicFramePr>
              <a:graphicFrameLocks noChangeAspect="1"/>
            </wp:cNvGraphicFramePr>
            <a:graphic>
              <a:graphicData uri="http://schemas.openxmlformats.org/drawingml/2006/picture">
                <pic:pic>
                  <pic:nvPicPr>
                    <pic:cNvPr id="0" name="rsvg-806808b32e8a165283cfc31694574b6aab6c642fb0d6bd51e18db0200a4440a2.png"/>
                    <pic:cNvPicPr/>
                  </pic:nvPicPr>
                  <pic:blipFill>
                    <a:blip r:embed="rId416"/>
                    <a:stretch>
                      <a:fillRect/>
                    </a:stretch>
                  </pic:blipFill>
                  <pic:spPr>
                    <a:xfrm>
                      <a:off x="0" y="0"/>
                      <a:ext cx="6217920" cy="3067645"/>
                    </a:xfrm>
                    <a:prstGeom prst="rect"/>
                  </pic:spPr>
                </pic:pic>
              </a:graphicData>
            </a:graphic>
          </wp:inline>
        </w:drawing>
      </w:r>
    </w:p>
    <w:p>
      <w:pPr>
        <w:pStyle w:val="Heading2"/>
      </w:pPr>
      <w:r>
        <w:t>Setup</w:t>
      </w:r>
    </w:p>
    <w:p>
      <w:r>
        <w:t>Explicit dielectric teaching inputs. Mechanical laminate properties are not used in this separate RF study.</w:t>
      </w:r>
    </w:p>
    <w:p>
      <w:pPr>
        <w:pStyle w:val="Heading2"/>
      </w:pPr>
      <w:r>
        <w:t>Tasks</w:t>
      </w:r>
    </w:p>
    <w:p>
      <w:r>
        <w:t>Review the explicit EM phase properties, frequency and model scope.</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Incremental mixing with time-step refinement check. Positive-permittivity, passive, nonmagnetic RF screening only. This separate study uses explicit EM inputs, not mechanical or cure properties. Illustrative defaults are not measured T700 properties.</w:t>
      </w:r>
    </w:p>
    <w:p>
      <w:pPr>
        <w:pStyle w:val="Heading2"/>
      </w:pPr>
      <w:r>
        <w:t>Recorded validation</w:t>
      </w:r>
    </w:p>
    <w:p>
      <w:r>
        <w:t>2026-09-18 — Not benchmark validated: No matched quantitative reference comparison completed for the full exercise.</w:t>
      </w:r>
    </w:p>
    <w:p>
      <w:r>
        <w:t>Incremental mixing with time-step refinement check. Positive-permittivity, passive, nonmagnetic RF screening only. This separate study uses explicit EM inputs, not mechanical or cure properties. Illustrative defaults are not measured T700 properties.</w:t>
      </w:r>
    </w:p>
    <w:p>
      <w:hyperlink r:id="rId417">
        <w:r>
          <w:rPr>
            <w:color w:val="176EA4"/>
          </w:rPr>
          <w:t>Validation evidence and tested inputs</w:t>
        </w:r>
      </w:hyperlink>
      <w:r>
        <w:t xml:space="preserve"> </w:t>
      </w:r>
    </w:p>
    <w:p>
      <w:pPr>
        <w:pStyle w:val="Heading2"/>
      </w:pPr>
      <w:r>
        <w:t>Connected models and submodels</w:t>
      </w:r>
    </w:p>
    <w:p>
      <w:r>
        <w:t>EM · Differential effective medium. Incremental mixing with time-step refinement check. Positive-permittivity, passive, nonmagnetic RF screening only. This separate study uses explicit EM inputs, not mechanical or cure properties. Illustrative defaults are not measured T700 properties.</w:t>
      </w:r>
    </w:p>
    <w:p>
      <w:hyperlink r:id="rId418">
        <w:r>
          <w:rPr>
            <w:color w:val="176EA4"/>
          </w:rPr>
          <w:t>Theory and assumptions</w:t>
        </w:r>
      </w:hyperlink>
      <w:r>
        <w:t xml:space="preserve"> </w:t>
      </w:r>
    </w:p>
    <w:p>
      <w:r>
        <w:t>Explicit dielectric inputs → RF result. Independent EM study. Mechanical, cure, thermal and moisture properties are not consumed. Effective-medium handoff to a TMM layer is manual.</w:t>
      </w:r>
    </w:p>
    <w:p>
      <w:r>
        <w:t xml:space="preserve">EM field and material controls. </w:t>
      </w:r>
    </w:p>
    <w:p>
      <w:r>
        <w:t xml:space="preserve">Frequency: 10 GHz. </w:t>
      </w:r>
    </w:p>
    <w:p>
      <w:r>
        <w:t>Host permittivity: 3 —. Positive real relative permittivity; measured at the study frequency.</w:t>
      </w:r>
    </w:p>
    <w:p>
      <w:r>
        <w:t>Host loss tangent: 0.01 —. Dielectric loss only; do not count conductivity twice.</w:t>
      </w:r>
    </w:p>
    <w:p>
      <w:r>
        <w:t xml:space="preserve">Host conductivity: 0 S/m. </w:t>
      </w:r>
    </w:p>
    <w:p>
      <w:r>
        <w:t>Inclusion permittivity: 8 —. Positive real relative permittivity; measured at the study frequency.</w:t>
      </w:r>
    </w:p>
    <w:p>
      <w:r>
        <w:t>Inclusion loss tangent: 0.01 —. Dielectric loss only; do not count conductivity twice.</w:t>
      </w:r>
    </w:p>
    <w:p>
      <w:r>
        <w:t xml:space="preserve">Inclusion conductivity: 0 S/m. </w:t>
      </w:r>
    </w:p>
    <w:p>
      <w:r>
        <w:t xml:space="preserve">Inclusion fraction: 0.1 —. </w:t>
      </w:r>
    </w:p>
    <w:p>
      <w:r>
        <w:t>Depolarization factor: 0.3333333333333333 —. Principal-axis scalar approximation; 1/3 is a sphere.</w:t>
      </w:r>
    </w:p>
    <w:p>
      <w:pPr>
        <w:pStyle w:val="Heading2"/>
      </w:pPr>
      <w:r>
        <w:t>Data between modules</w:t>
      </w:r>
    </w:p>
    <w:p>
      <w:r>
        <w:t>EM to Simulation: SIMULATION selects this case and its analysis model; the case owns its applicable cycle and input references.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03" w:name="chapter_103"/>
      <w:pPr>
        <w:pStyle w:val="Heading1"/>
        <w:pageBreakBefore/>
      </w:pPr>
      <w:r>
        <w:t>Coated sphere and interphase</w:t>
      </w:r>
      <w:bookmarkEnd w:id="103"/>
    </w:p>
    <w:p>
      <w:pPr>
        <w:pStyle w:val="Caption"/>
      </w:pPr>
      <w:hyperlink r:id="rId35">
        <w:r>
          <w:rPr>
            <w:color w:val="176EA4"/>
          </w:rPr>
          <w:t>Online chapter</w:t>
        </w:r>
      </w:hyperlink>
      <w:r>
        <w:t xml:space="preserve"> </w:t>
      </w:r>
    </w:p>
    <w:p>
      <w:r>
        <w:t>Coated sphere and interphase. Study-specific dimensions. Models: EM · Coated sphere and interphase.</w:t>
      </w:r>
    </w:p>
    <w:p>
      <w:hyperlink r:id="rId419">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28" name="Picture 128" descr="CDS workflow or model illustration"/>
            <wp:cNvGraphicFramePr>
              <a:graphicFrameLocks noChangeAspect="1"/>
            </wp:cNvGraphicFramePr>
            <a:graphic>
              <a:graphicData uri="http://schemas.openxmlformats.org/drawingml/2006/picture">
                <pic:pic>
                  <pic:nvPicPr>
                    <pic:cNvPr id="0" name="rsvg-d9c72df8e43da96845abeb65a93b25ae766dddf442a542a48becad504114db95.png"/>
                    <pic:cNvPicPr/>
                  </pic:nvPicPr>
                  <pic:blipFill>
                    <a:blip r:embed="rId420"/>
                    <a:stretch>
                      <a:fillRect/>
                    </a:stretch>
                  </pic:blipFill>
                  <pic:spPr>
                    <a:xfrm>
                      <a:off x="0" y="0"/>
                      <a:ext cx="6217920" cy="3067645"/>
                    </a:xfrm>
                    <a:prstGeom prst="rect"/>
                  </pic:spPr>
                </pic:pic>
              </a:graphicData>
            </a:graphic>
          </wp:inline>
        </w:drawing>
      </w:r>
    </w:p>
    <w:p>
      <w:pPr>
        <w:pStyle w:val="Heading2"/>
      </w:pPr>
      <w:r>
        <w:t>Setup</w:t>
      </w:r>
    </w:p>
    <w:p>
      <w:r>
        <w:t>Explicit dielectric teaching inputs. Mechanical laminate properties are not used in this separate RF study.</w:t>
      </w:r>
    </w:p>
    <w:p>
      <w:pPr>
        <w:pStyle w:val="Heading2"/>
      </w:pPr>
      <w:r>
        <w:t>Tasks</w:t>
      </w:r>
    </w:p>
    <w:p>
      <w:r>
        <w:t>Review the explicit EM phase properties, frequency and model scope.</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Concentric subwavelength coated spheres; no dynamic Mie scattering. Positive-permittivity, passive, nonmagnetic RF screening only. This separate study uses explicit EM inputs, not mechanical or cure properties. Illustrative defaults are not measured T700 properties.</w:t>
      </w:r>
    </w:p>
    <w:p>
      <w:pPr>
        <w:pStyle w:val="Heading2"/>
      </w:pPr>
      <w:r>
        <w:t>Recorded validation</w:t>
      </w:r>
    </w:p>
    <w:p>
      <w:r>
        <w:t>2026-09-18 — Not benchmark validated: No matched quantitative reference comparison completed for the full exercise.</w:t>
      </w:r>
    </w:p>
    <w:p>
      <w:r>
        <w:t>Concentric subwavelength coated spheres; no dynamic Mie scattering. Positive-permittivity, passive, nonmagnetic RF screening only. This separate study uses explicit EM inputs, not mechanical or cure properties. Illustrative defaults are not measured T700 properties.</w:t>
      </w:r>
    </w:p>
    <w:p>
      <w:hyperlink r:id="rId421">
        <w:r>
          <w:rPr>
            <w:color w:val="176EA4"/>
          </w:rPr>
          <w:t>Validation evidence and tested inputs</w:t>
        </w:r>
      </w:hyperlink>
      <w:r>
        <w:t xml:space="preserve"> </w:t>
      </w:r>
    </w:p>
    <w:p>
      <w:pPr>
        <w:pStyle w:val="Heading2"/>
      </w:pPr>
      <w:r>
        <w:t>Connected models and submodels</w:t>
      </w:r>
    </w:p>
    <w:p>
      <w:r>
        <w:t>EM · Coated sphere and interphase. Concentric subwavelength coated spheres; no dynamic Mie scattering. Positive-permittivity, passive, nonmagnetic RF screening only. This separate study uses explicit EM inputs, not mechanical or cure properties. Illustrative defaults are not measured T700 properties.</w:t>
      </w:r>
    </w:p>
    <w:p>
      <w:hyperlink r:id="rId422">
        <w:r>
          <w:rPr>
            <w:color w:val="176EA4"/>
          </w:rPr>
          <w:t>Theory and assumptions</w:t>
        </w:r>
      </w:hyperlink>
      <w:r>
        <w:t xml:space="preserve"> </w:t>
      </w:r>
    </w:p>
    <w:p>
      <w:r>
        <w:t>Explicit dielectric inputs → RF result. Independent EM study. Mechanical, cure, thermal and moisture properties are not consumed. Effective-medium handoff to a TMM layer is manual.</w:t>
      </w:r>
    </w:p>
    <w:p>
      <w:r>
        <w:t xml:space="preserve">EM field and material controls. </w:t>
      </w:r>
    </w:p>
    <w:p>
      <w:r>
        <w:t xml:space="preserve">Frequency: 10 GHz. </w:t>
      </w:r>
    </w:p>
    <w:p>
      <w:r>
        <w:t>Host permittivity: 3 —. Positive real relative permittivity; measured at the study frequency.</w:t>
      </w:r>
    </w:p>
    <w:p>
      <w:r>
        <w:t>Host loss tangent: 0.01 —. Dielectric loss only; do not count conductivity twice.</w:t>
      </w:r>
    </w:p>
    <w:p>
      <w:r>
        <w:t xml:space="preserve">Host conductivity: 0 S/m. </w:t>
      </w:r>
    </w:p>
    <w:p>
      <w:r>
        <w:t>Inclusion permittivity: 8 —. Positive real relative permittivity; measured at the study frequency.</w:t>
      </w:r>
    </w:p>
    <w:p>
      <w:r>
        <w:t>Inclusion loss tangent: 0.01 —. Dielectric loss only; do not count conductivity twice.</w:t>
      </w:r>
    </w:p>
    <w:p>
      <w:r>
        <w:t xml:space="preserve">Inclusion conductivity: 0 S/m. </w:t>
      </w:r>
    </w:p>
    <w:p>
      <w:r>
        <w:t xml:space="preserve">Inclusion fraction: 0.1 —. </w:t>
      </w:r>
    </w:p>
    <w:p>
      <w:r>
        <w:t>Shell permittivity: 4 —. Positive real relative permittivity; measured at the study frequency.</w:t>
      </w:r>
    </w:p>
    <w:p>
      <w:r>
        <w:t>Shell loss tangent: 0.01 —. Dielectric loss only; do not count conductivity twice.</w:t>
      </w:r>
    </w:p>
    <w:p>
      <w:r>
        <w:t xml:space="preserve">Shell conductivity: 0 S/m. </w:t>
      </w:r>
    </w:p>
    <w:p>
      <w:r>
        <w:t>Core fraction: 0.7 —. Core volume divided by coated-particle volume.</w:t>
      </w:r>
    </w:p>
    <w:p>
      <w:pPr>
        <w:pStyle w:val="Heading2"/>
      </w:pPr>
      <w:r>
        <w:t>Data between modules</w:t>
      </w:r>
    </w:p>
    <w:p>
      <w:r>
        <w:t>EM to Simulation: SIMULATION selects this case and its analysis model; the case owns its applicable cycle and input references.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04" w:name="chapter_104"/>
      <w:pPr>
        <w:pStyle w:val="Heading1"/>
        <w:pageBreakBefore/>
      </w:pPr>
      <w:r>
        <w:t>Generalized multiphase EMT</w:t>
      </w:r>
      <w:bookmarkEnd w:id="104"/>
    </w:p>
    <w:p>
      <w:pPr>
        <w:pStyle w:val="Caption"/>
      </w:pPr>
      <w:hyperlink r:id="rId35">
        <w:r>
          <w:rPr>
            <w:color w:val="176EA4"/>
          </w:rPr>
          <w:t>Online chapter</w:t>
        </w:r>
      </w:hyperlink>
      <w:r>
        <w:t xml:space="preserve"> </w:t>
      </w:r>
    </w:p>
    <w:p>
      <w:r>
        <w:t>Generalized multiphase EMT. Study-specific dimensions. Models: EM · Generalized multiphase EMT.</w:t>
      </w:r>
    </w:p>
    <w:p>
      <w:hyperlink r:id="rId423">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29" name="Picture 129" descr="CDS workflow or model illustration"/>
            <wp:cNvGraphicFramePr>
              <a:graphicFrameLocks noChangeAspect="1"/>
            </wp:cNvGraphicFramePr>
            <a:graphic>
              <a:graphicData uri="http://schemas.openxmlformats.org/drawingml/2006/picture">
                <pic:pic>
                  <pic:nvPicPr>
                    <pic:cNvPr id="0" name="rsvg-76ccede26c5db725b20b123eb4f6c3c14f3c070fa323a65e787eb3f689417c30.png"/>
                    <pic:cNvPicPr/>
                  </pic:nvPicPr>
                  <pic:blipFill>
                    <a:blip r:embed="rId424"/>
                    <a:stretch>
                      <a:fillRect/>
                    </a:stretch>
                  </pic:blipFill>
                  <pic:spPr>
                    <a:xfrm>
                      <a:off x="0" y="0"/>
                      <a:ext cx="6217920" cy="3067645"/>
                    </a:xfrm>
                    <a:prstGeom prst="rect"/>
                  </pic:spPr>
                </pic:pic>
              </a:graphicData>
            </a:graphic>
          </wp:inline>
        </w:drawing>
      </w:r>
    </w:p>
    <w:p>
      <w:pPr>
        <w:pStyle w:val="Heading2"/>
      </w:pPr>
      <w:r>
        <w:t>Setup</w:t>
      </w:r>
    </w:p>
    <w:p>
      <w:r>
        <w:t>Explicit dielectric teaching inputs. Mechanical laminate properties are not used in this separate RF study.</w:t>
      </w:r>
    </w:p>
    <w:p>
      <w:pPr>
        <w:pStyle w:val="Heading2"/>
      </w:pPr>
      <w:r>
        <w:t>Tasks</w:t>
      </w:r>
    </w:p>
    <w:p>
      <w:r>
        <w:t>Review the explicit EM phase properties, frequency and model scope.</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Spherical multiphase Bruggeman with convergence checks. Positive-permittivity, passive, nonmagnetic RF screening only. This separate study uses explicit EM inputs, not mechanical or cure properties. Illustrative defaults are not measured T700 properties.</w:t>
      </w:r>
    </w:p>
    <w:p>
      <w:pPr>
        <w:pStyle w:val="Heading2"/>
      </w:pPr>
      <w:r>
        <w:t>Recorded validation</w:t>
      </w:r>
    </w:p>
    <w:p>
      <w:r>
        <w:t>2026-09-18 — Not benchmark validated: No matched quantitative reference comparison completed for the full exercise.</w:t>
      </w:r>
    </w:p>
    <w:p>
      <w:r>
        <w:t>Spherical multiphase Bruggeman with convergence checks. Positive-permittivity, passive, nonmagnetic RF screening only. This separate study uses explicit EM inputs, not mechanical or cure properties. Illustrative defaults are not measured T700 properties.</w:t>
      </w:r>
    </w:p>
    <w:p>
      <w:hyperlink r:id="rId425">
        <w:r>
          <w:rPr>
            <w:color w:val="176EA4"/>
          </w:rPr>
          <w:t>Validation evidence and tested inputs</w:t>
        </w:r>
      </w:hyperlink>
      <w:r>
        <w:t xml:space="preserve"> </w:t>
      </w:r>
    </w:p>
    <w:p>
      <w:pPr>
        <w:pStyle w:val="Heading2"/>
      </w:pPr>
      <w:r>
        <w:t>Connected models and submodels</w:t>
      </w:r>
    </w:p>
    <w:p>
      <w:r>
        <w:t>EM · Generalized multiphase EMT. Spherical multiphase Bruggeman with convergence checks. Positive-permittivity, passive, nonmagnetic RF screening only. This separate study uses explicit EM inputs, not mechanical or cure properties. Illustrative defaults are not measured T700 properties.</w:t>
      </w:r>
    </w:p>
    <w:p>
      <w:hyperlink r:id="rId426">
        <w:r>
          <w:rPr>
            <w:color w:val="176EA4"/>
          </w:rPr>
          <w:t>Theory and assumptions</w:t>
        </w:r>
      </w:hyperlink>
      <w:r>
        <w:t xml:space="preserve"> </w:t>
      </w:r>
    </w:p>
    <w:p>
      <w:r>
        <w:t>Explicit dielectric inputs → RF result. Independent EM study. Mechanical, cure, thermal and moisture properties are not consumed. Effective-medium handoff to a TMM layer is manual.</w:t>
      </w:r>
    </w:p>
    <w:p>
      <w:r>
        <w:t xml:space="preserve">EM field and material controls. </w:t>
      </w:r>
    </w:p>
    <w:p>
      <w:r>
        <w:t xml:space="preserve">Frequency: 10 GHz. </w:t>
      </w:r>
    </w:p>
    <w:p>
      <w:r>
        <w:t>Host permittivity: 3 —. Positive real relative permittivity; measured at the study frequency.</w:t>
      </w:r>
    </w:p>
    <w:p>
      <w:r>
        <w:t>Host loss tangent: 0.01 —. Dielectric loss only; do not count conductivity twice.</w:t>
      </w:r>
    </w:p>
    <w:p>
      <w:r>
        <w:t xml:space="preserve">Host conductivity: 0 S/m. </w:t>
      </w:r>
    </w:p>
    <w:p>
      <w:r>
        <w:t>Inclusion permittivity: 8 —. Positive real relative permittivity; measured at the study frequency.</w:t>
      </w:r>
    </w:p>
    <w:p>
      <w:r>
        <w:t>Inclusion loss tangent: 0.01 —. Dielectric loss only; do not count conductivity twice.</w:t>
      </w:r>
    </w:p>
    <w:p>
      <w:r>
        <w:t xml:space="preserve">Inclusion conductivity: 0 S/m. </w:t>
      </w:r>
    </w:p>
    <w:p>
      <w:r>
        <w:t xml:space="preserve">Inclusion fraction: 0.1 —. </w:t>
      </w:r>
    </w:p>
    <w:p>
      <w:r>
        <w:t>Third phase permittivity: 2 —. Positive real relative permittivity; measured at the study frequency.</w:t>
      </w:r>
    </w:p>
    <w:p>
      <w:r>
        <w:t>Third phase loss tangent: 0.01 —. Dielectric loss only; do not count conductivity twice.</w:t>
      </w:r>
    </w:p>
    <w:p>
      <w:r>
        <w:t xml:space="preserve">Third phase conductivity: 0 S/m. </w:t>
      </w:r>
    </w:p>
    <w:p>
      <w:r>
        <w:t xml:space="preserve">Third phase fraction: 0.1 —. </w:t>
      </w:r>
    </w:p>
    <w:p>
      <w:pPr>
        <w:pStyle w:val="Heading2"/>
      </w:pPr>
      <w:r>
        <w:t>Data between modules</w:t>
      </w:r>
    </w:p>
    <w:p>
      <w:r>
        <w:t>EM to Simulation: SIMULATION selects this case and its analysis model; the case owns its applicable cycle and input references.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05" w:name="chapter_105"/>
      <w:pPr>
        <w:pStyle w:val="Heading1"/>
        <w:pageBreakBefore/>
      </w:pPr>
      <w:r>
        <w:t>Oblique polarized laminate TMM</w:t>
      </w:r>
      <w:bookmarkEnd w:id="105"/>
    </w:p>
    <w:p>
      <w:pPr>
        <w:pStyle w:val="Caption"/>
      </w:pPr>
      <w:hyperlink r:id="rId35">
        <w:r>
          <w:rPr>
            <w:color w:val="176EA4"/>
          </w:rPr>
          <w:t>Online chapter</w:t>
        </w:r>
      </w:hyperlink>
      <w:r>
        <w:t xml:space="preserve"> </w:t>
      </w:r>
    </w:p>
    <w:p>
      <w:r>
        <w:t>Oblique polarized laminate TMM. Study-specific dimensions. Models: EM · Oblique polarized laminate TMM.</w:t>
      </w:r>
    </w:p>
    <w:p>
      <w:hyperlink r:id="rId427">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30" name="Picture 130" descr="CDS workflow or model illustration"/>
            <wp:cNvGraphicFramePr>
              <a:graphicFrameLocks noChangeAspect="1"/>
            </wp:cNvGraphicFramePr>
            <a:graphic>
              <a:graphicData uri="http://schemas.openxmlformats.org/drawingml/2006/picture">
                <pic:pic>
                  <pic:nvPicPr>
                    <pic:cNvPr id="0" name="rsvg-f198d52917eea9a3be0eac4a3849fdd169abb9b77138ef04d0014acbb1596cd0.png"/>
                    <pic:cNvPicPr/>
                  </pic:nvPicPr>
                  <pic:blipFill>
                    <a:blip r:embed="rId428"/>
                    <a:stretch>
                      <a:fillRect/>
                    </a:stretch>
                  </pic:blipFill>
                  <pic:spPr>
                    <a:xfrm>
                      <a:off x="0" y="0"/>
                      <a:ext cx="6217920" cy="3067645"/>
                    </a:xfrm>
                    <a:prstGeom prst="rect"/>
                  </pic:spPr>
                </pic:pic>
              </a:graphicData>
            </a:graphic>
          </wp:inline>
        </w:drawing>
      </w:r>
    </w:p>
    <w:p>
      <w:pPr>
        <w:pStyle w:val="Heading2"/>
      </w:pPr>
      <w:r>
        <w:t>Setup</w:t>
      </w:r>
    </w:p>
    <w:p>
      <w:r>
        <w:t>Explicit dielectric teaching inputs. Mechanical laminate properties are not used in this separate RF study.</w:t>
      </w:r>
    </w:p>
    <w:p>
      <w:pPr>
        <w:pStyle w:val="Heading2"/>
      </w:pPr>
      <w:r>
        <w:t>Tasks</w:t>
      </w:r>
    </w:p>
    <w:p>
      <w:r>
        <w:t>Review the explicit EM phase properties, frequency and model scope.</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TE or TM waves; scalar isotropic layers, no polarization conversion. Positive-permittivity, passive, nonmagnetic RF screening only. This separate study uses explicit EM inputs, not mechanical or cure properties. Illustrative defaults are not measured T700 properties.</w:t>
      </w:r>
    </w:p>
    <w:p>
      <w:pPr>
        <w:pStyle w:val="Heading2"/>
      </w:pPr>
      <w:r>
        <w:t>Recorded validation</w:t>
      </w:r>
    </w:p>
    <w:p>
      <w:r>
        <w:t>2026-09-18 — Not benchmark validated: No matched quantitative reference comparison completed for the full exercise.</w:t>
      </w:r>
    </w:p>
    <w:p>
      <w:r>
        <w:t>TE or TM waves; scalar isotropic layers, no polarization conversion. Positive-permittivity, passive, nonmagnetic RF screening only. This separate study uses explicit EM inputs, not mechanical or cure properties. Illustrative defaults are not measured T700 properties.</w:t>
      </w:r>
    </w:p>
    <w:p>
      <w:hyperlink r:id="rId429">
        <w:r>
          <w:rPr>
            <w:color w:val="176EA4"/>
          </w:rPr>
          <w:t>Validation evidence and tested inputs</w:t>
        </w:r>
      </w:hyperlink>
      <w:r>
        <w:t xml:space="preserve"> </w:t>
      </w:r>
    </w:p>
    <w:p>
      <w:pPr>
        <w:pStyle w:val="Heading2"/>
      </w:pPr>
      <w:r>
        <w:t>Connected models and submodels</w:t>
      </w:r>
    </w:p>
    <w:p>
      <w:r>
        <w:t>EM · Oblique polarized laminate TMM. TE or TM waves; scalar isotropic layers, no polarization conversion. Positive-permittivity, passive, nonmagnetic RF screening only. This separate study uses explicit EM inputs, not mechanical or cure properties. Illustrative defaults are not measured T700 properties.</w:t>
      </w:r>
    </w:p>
    <w:p>
      <w:hyperlink r:id="rId430">
        <w:r>
          <w:rPr>
            <w:color w:val="176EA4"/>
          </w:rPr>
          <w:t>Theory and assumptions</w:t>
        </w:r>
      </w:hyperlink>
      <w:r>
        <w:t xml:space="preserve"> </w:t>
      </w:r>
    </w:p>
    <w:p>
      <w:r>
        <w:t>Explicit dielectric inputs → RF result. Independent EM study. Mechanical, cure, thermal and moisture properties are not consumed. Effective-medium handoff to a TMM layer is manual.</w:t>
      </w:r>
    </w:p>
    <w:p>
      <w:r>
        <w:t xml:space="preserve">EM field and material controls. </w:t>
      </w:r>
    </w:p>
    <w:p>
      <w:r>
        <w:t xml:space="preserve">Frequency: 10 GHz. </w:t>
      </w:r>
    </w:p>
    <w:p>
      <w:r>
        <w:t xml:space="preserve">Frequency end: 18 GHz. </w:t>
      </w:r>
    </w:p>
    <w:p>
      <w:r>
        <w:t>Layer A permittivity: 3 —. Positive real relative permittivity; measured at the study frequency.</w:t>
      </w:r>
    </w:p>
    <w:p>
      <w:r>
        <w:t>Layer A loss tangent: 0.01 —. Dielectric loss only; do not count conductivity twice.</w:t>
      </w:r>
    </w:p>
    <w:p>
      <w:r>
        <w:t xml:space="preserve">Layer A conductivity: 0 S/m. </w:t>
      </w:r>
    </w:p>
    <w:p>
      <w:r>
        <w:t xml:space="preserve">Layer A thickness: 1 mm. </w:t>
      </w:r>
    </w:p>
    <w:p>
      <w:r>
        <w:t>Layer B permittivity: 6 —. Positive real relative permittivity; measured at the study frequency.</w:t>
      </w:r>
    </w:p>
    <w:p>
      <w:r>
        <w:t>Layer B loss tangent: 0.01 —. Dielectric loss only; do not count conductivity twice.</w:t>
      </w:r>
    </w:p>
    <w:p>
      <w:r>
        <w:t xml:space="preserve">Layer B conductivity: 0 S/m. </w:t>
      </w:r>
    </w:p>
    <w:p>
      <w:r>
        <w:t xml:space="preserve">Layer B thickness: 1 mm. </w:t>
      </w:r>
    </w:p>
    <w:p>
      <w:r>
        <w:t xml:space="preserve">AB repeat count: 1 —. </w:t>
      </w:r>
    </w:p>
    <w:p>
      <w:r>
        <w:t xml:space="preserve">Incidence angle: 30 deg. </w:t>
      </w:r>
    </w:p>
    <w:p>
      <w:r>
        <w:t>TM polarization: 0 —. 0 = TE, 1 = TM.</w:t>
      </w:r>
    </w:p>
    <w:p>
      <w:pPr>
        <w:pStyle w:val="Heading2"/>
      </w:pPr>
      <w:r>
        <w:t>Data between modules</w:t>
      </w:r>
    </w:p>
    <w:p>
      <w:r>
        <w:t>EM to Simulation: SIMULATION selects this case and its analysis model; the case owns its applicable cycle and input references.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06" w:name="chapter_106"/>
      <w:pPr>
        <w:pStyle w:val="Heading1"/>
        <w:pageBreakBefore/>
      </w:pPr>
      <w:r>
        <w:t>1D transmission line matrix</w:t>
      </w:r>
      <w:bookmarkEnd w:id="106"/>
    </w:p>
    <w:p>
      <w:pPr>
        <w:pStyle w:val="Caption"/>
      </w:pPr>
      <w:hyperlink r:id="rId35">
        <w:r>
          <w:rPr>
            <w:color w:val="176EA4"/>
          </w:rPr>
          <w:t>Online chapter</w:t>
        </w:r>
      </w:hyperlink>
      <w:r>
        <w:t xml:space="preserve"> </w:t>
      </w:r>
    </w:p>
    <w:p>
      <w:r>
        <w:t>1D transmission line matrix. Study-specific dimensions. Models: EM · 1D transmission line matrix.</w:t>
      </w:r>
    </w:p>
    <w:p>
      <w:hyperlink r:id="rId431">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31" name="Picture 131" descr="CDS workflow or model illustration"/>
            <wp:cNvGraphicFramePr>
              <a:graphicFrameLocks noChangeAspect="1"/>
            </wp:cNvGraphicFramePr>
            <a:graphic>
              <a:graphicData uri="http://schemas.openxmlformats.org/drawingml/2006/picture">
                <pic:pic>
                  <pic:nvPicPr>
                    <pic:cNvPr id="0" name="rsvg-00e5c49da983c4de179a3160ab70f2955b8ae006570319a8f05f87a321493524.png"/>
                    <pic:cNvPicPr/>
                  </pic:nvPicPr>
                  <pic:blipFill>
                    <a:blip r:embed="rId432"/>
                    <a:stretch>
                      <a:fillRect/>
                    </a:stretch>
                  </pic:blipFill>
                  <pic:spPr>
                    <a:xfrm>
                      <a:off x="0" y="0"/>
                      <a:ext cx="6217920" cy="3067645"/>
                    </a:xfrm>
                    <a:prstGeom prst="rect"/>
                  </pic:spPr>
                </pic:pic>
              </a:graphicData>
            </a:graphic>
          </wp:inline>
        </w:drawing>
      </w:r>
    </w:p>
    <w:p>
      <w:pPr>
        <w:pStyle w:val="Heading2"/>
      </w:pPr>
      <w:r>
        <w:t>Setup</w:t>
      </w:r>
    </w:p>
    <w:p>
      <w:r>
        <w:t>Explicit dielectric teaching inputs. Mechanical laminate properties are not used in this separate RF study.</w:t>
      </w:r>
    </w:p>
    <w:p>
      <w:pPr>
        <w:pStyle w:val="Heading2"/>
      </w:pPr>
      <w:r>
        <w:t>Tasks</w:t>
      </w:r>
    </w:p>
    <w:p>
      <w:r>
        <w:t>Review the explicit EM phase properties, frequency and model scope.</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Normal-incidence lossless delay-line mesh with pulse decay, energy and mesh-refinement safeguards. Explicit Run required; not a 3D solver. Positive-permittivity, passive, nonmagnetic RF screening only. This separate study uses explicit EM inputs, not mechanical or cure properties. Illustrative defaults are not measured T700 properties.</w:t>
      </w:r>
    </w:p>
    <w:p>
      <w:pPr>
        <w:pStyle w:val="Heading2"/>
      </w:pPr>
      <w:r>
        <w:t>Recorded validation</w:t>
      </w:r>
    </w:p>
    <w:p>
      <w:r>
        <w:t>2026-09-18 — Not benchmark validated: No matched quantitative reference comparison completed for the full exercise.</w:t>
      </w:r>
    </w:p>
    <w:p>
      <w:r>
        <w:t>Normal-incidence lossless delay-line mesh with pulse decay, energy and mesh-refinement safeguards. Explicit Run required; not a 3D solver. Positive-permittivity, passive, nonmagnetic RF screening only. This separate study uses explicit EM inputs, not mechanical or cure properties. Illustrative defaults are not measured T700 properties.</w:t>
      </w:r>
    </w:p>
    <w:p>
      <w:hyperlink r:id="rId433">
        <w:r>
          <w:rPr>
            <w:color w:val="176EA4"/>
          </w:rPr>
          <w:t>Validation evidence and tested inputs</w:t>
        </w:r>
      </w:hyperlink>
      <w:r>
        <w:t xml:space="preserve"> </w:t>
      </w:r>
    </w:p>
    <w:p>
      <w:pPr>
        <w:pStyle w:val="Heading2"/>
      </w:pPr>
      <w:r>
        <w:t>Connected models and submodels</w:t>
      </w:r>
    </w:p>
    <w:p>
      <w:r>
        <w:t>EM · 1D transmission line matrix. Normal-incidence lossless delay-line mesh with pulse decay, energy and mesh-refinement safeguards. Explicit Run required; not a 3D solver. Positive-permittivity, passive, nonmagnetic RF screening only. This separate study uses explicit EM inputs, not mechanical or cure properties. Illustrative defaults are not measured T700 properties.</w:t>
      </w:r>
    </w:p>
    <w:p>
      <w:hyperlink r:id="rId434">
        <w:r>
          <w:rPr>
            <w:color w:val="176EA4"/>
          </w:rPr>
          <w:t>Theory and assumptions</w:t>
        </w:r>
      </w:hyperlink>
      <w:r>
        <w:t xml:space="preserve"> </w:t>
      </w:r>
    </w:p>
    <w:p>
      <w:r>
        <w:t>Explicit dielectric inputs → RF result. Independent EM study. Mechanical, cure, thermal and moisture properties are not consumed. Effective-medium handoff to a TMM layer is manual.</w:t>
      </w:r>
    </w:p>
    <w:p>
      <w:r>
        <w:t xml:space="preserve">EM field and material controls. </w:t>
      </w:r>
    </w:p>
    <w:p>
      <w:r>
        <w:t xml:space="preserve">Frequency: 10 GHz. </w:t>
      </w:r>
    </w:p>
    <w:p>
      <w:r>
        <w:t xml:space="preserve">Frequency end: 18 GHz. </w:t>
      </w:r>
    </w:p>
    <w:p>
      <w:r>
        <w:t>Layer A permittivity: 3 —. Positive real relative permittivity; measured at the study frequency.</w:t>
      </w:r>
    </w:p>
    <w:p>
      <w:r>
        <w:t>Layer A loss tangent: 0 —. Dielectric loss only; do not count conductivity twice.</w:t>
      </w:r>
    </w:p>
    <w:p>
      <w:r>
        <w:t xml:space="preserve">Layer A conductivity: 0 S/m. </w:t>
      </w:r>
    </w:p>
    <w:p>
      <w:r>
        <w:t xml:space="preserve">Layer A thickness: 1 mm. </w:t>
      </w:r>
    </w:p>
    <w:p>
      <w:r>
        <w:t>Layer B permittivity: 6 —. Positive real relative permittivity; measured at the study frequency.</w:t>
      </w:r>
    </w:p>
    <w:p>
      <w:r>
        <w:t>Layer B loss tangent: 0 —. Dielectric loss only; do not count conductivity twice.</w:t>
      </w:r>
    </w:p>
    <w:p>
      <w:r>
        <w:t xml:space="preserve">Layer B conductivity: 0 S/m. </w:t>
      </w:r>
    </w:p>
    <w:p>
      <w:r>
        <w:t xml:space="preserve">Layer B thickness: 1 mm. </w:t>
      </w:r>
    </w:p>
    <w:p>
      <w:r>
        <w:t xml:space="preserve">AB repeat count: 1 —. </w:t>
      </w:r>
    </w:p>
    <w:p>
      <w:r>
        <w:t>TLM resolution: 24 —. Minimum delay cells per layer and samples per highest-frequency cycle. A second run doubles resolution; limited to 8–64.</w:t>
      </w:r>
    </w:p>
    <w:p>
      <w:pPr>
        <w:pStyle w:val="Heading2"/>
      </w:pPr>
      <w:r>
        <w:t>Data between modules</w:t>
      </w:r>
    </w:p>
    <w:p>
      <w:r>
        <w:t>EM to Simulation: SIMULATION selects this case and its analysis model; the case owns its applicable cycle and input references.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07" w:name="chapter_107"/>
      <w:pPr>
        <w:pStyle w:val="Heading1"/>
        <w:pageBreakBefore/>
      </w:pPr>
      <w:r>
        <w:t>1D Floquet Bloch periodic layers</w:t>
      </w:r>
      <w:bookmarkEnd w:id="107"/>
    </w:p>
    <w:p>
      <w:pPr>
        <w:pStyle w:val="Caption"/>
      </w:pPr>
      <w:hyperlink r:id="rId35">
        <w:r>
          <w:rPr>
            <w:color w:val="176EA4"/>
          </w:rPr>
          <w:t>Online chapter</w:t>
        </w:r>
      </w:hyperlink>
      <w:r>
        <w:t xml:space="preserve"> </w:t>
      </w:r>
    </w:p>
    <w:p>
      <w:r>
        <w:t>1D Floquet–Bloch periodic layers. Study-specific dimensions. Models: EM · 1D Floquet–Bloch periodic layers.</w:t>
      </w:r>
    </w:p>
    <w:p>
      <w:hyperlink r:id="rId435">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32" name="Picture 132" descr="CDS workflow or model illustration"/>
            <wp:cNvGraphicFramePr>
              <a:graphicFrameLocks noChangeAspect="1"/>
            </wp:cNvGraphicFramePr>
            <a:graphic>
              <a:graphicData uri="http://schemas.openxmlformats.org/drawingml/2006/picture">
                <pic:pic>
                  <pic:nvPicPr>
                    <pic:cNvPr id="0" name="rsvg-a5e1c9f2ae3c455957ec5f830bf322fe548de5d440daf8d745e6e2f24ea63b43.png"/>
                    <pic:cNvPicPr/>
                  </pic:nvPicPr>
                  <pic:blipFill>
                    <a:blip r:embed="rId436"/>
                    <a:stretch>
                      <a:fillRect/>
                    </a:stretch>
                  </pic:blipFill>
                  <pic:spPr>
                    <a:xfrm>
                      <a:off x="0" y="0"/>
                      <a:ext cx="6217920" cy="3067645"/>
                    </a:xfrm>
                    <a:prstGeom prst="rect"/>
                  </pic:spPr>
                </pic:pic>
              </a:graphicData>
            </a:graphic>
          </wp:inline>
        </w:drawing>
      </w:r>
    </w:p>
    <w:p>
      <w:pPr>
        <w:pStyle w:val="Heading2"/>
      </w:pPr>
      <w:r>
        <w:t>Setup</w:t>
      </w:r>
    </w:p>
    <w:p>
      <w:r>
        <w:t>Explicit dielectric teaching inputs. Mechanical laminate properties are not used in this separate RF study.</w:t>
      </w:r>
    </w:p>
    <w:p>
      <w:pPr>
        <w:pStyle w:val="Heading2"/>
      </w:pPr>
      <w:r>
        <w:t>Tasks</w:t>
      </w:r>
    </w:p>
    <w:p>
      <w:r>
        <w:t>Review the explicit EM phase properties, frequency and model scope.</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Lossless isotropic A/B unit-cell eigenvalues, folded Bloch phase and stop-band attenuation at normal incidence. Not arbitrary-cell homogenization. Positive-permittivity, passive, nonmagnetic RF screening only. This separate study uses explicit EM inputs, not mechanical or cure properties. Illustrative defaults are not measured T700 properties.</w:t>
      </w:r>
    </w:p>
    <w:p>
      <w:pPr>
        <w:pStyle w:val="Heading2"/>
      </w:pPr>
      <w:r>
        <w:t>Recorded validation</w:t>
      </w:r>
    </w:p>
    <w:p>
      <w:r>
        <w:t>2026-09-18 — Not benchmark validated: No matched quantitative reference comparison completed for the full exercise.</w:t>
      </w:r>
    </w:p>
    <w:p>
      <w:r>
        <w:t>Lossless isotropic A/B unit-cell eigenvalues, folded Bloch phase and stop-band attenuation at normal incidence. Not arbitrary-cell homogenization. Positive-permittivity, passive, nonmagnetic RF screening only. This separate study uses explicit EM inputs, not mechanical or cure properties. Illustrative defaults are not measured T700 properties.</w:t>
      </w:r>
    </w:p>
    <w:p>
      <w:hyperlink r:id="rId437">
        <w:r>
          <w:rPr>
            <w:color w:val="176EA4"/>
          </w:rPr>
          <w:t>Validation evidence and tested inputs</w:t>
        </w:r>
      </w:hyperlink>
      <w:r>
        <w:t xml:space="preserve"> </w:t>
      </w:r>
    </w:p>
    <w:p>
      <w:pPr>
        <w:pStyle w:val="Heading2"/>
      </w:pPr>
      <w:r>
        <w:t>Connected models and submodels</w:t>
      </w:r>
    </w:p>
    <w:p>
      <w:r>
        <w:t>EM · 1D Floquet–Bloch periodic layers. Lossless isotropic A/B unit-cell eigenvalues, folded Bloch phase and stop-band attenuation at normal incidence. Not arbitrary-cell homogenization. Positive-permittivity, passive, nonmagnetic RF screening only. This separate study uses explicit EM inputs, not mechanical or cure properties. Illustrative defaults are not measured T700 properties.</w:t>
      </w:r>
    </w:p>
    <w:p>
      <w:hyperlink r:id="rId438">
        <w:r>
          <w:rPr>
            <w:color w:val="176EA4"/>
          </w:rPr>
          <w:t>Theory and assumptions</w:t>
        </w:r>
      </w:hyperlink>
      <w:r>
        <w:t xml:space="preserve"> </w:t>
      </w:r>
    </w:p>
    <w:p>
      <w:r>
        <w:t>Explicit dielectric inputs → RF result. Independent EM study. Mechanical, cure, thermal and moisture properties are not consumed. Effective-medium handoff to a TMM layer is manual.</w:t>
      </w:r>
    </w:p>
    <w:p>
      <w:r>
        <w:t xml:space="preserve">EM field and material controls. </w:t>
      </w:r>
    </w:p>
    <w:p>
      <w:r>
        <w:t xml:space="preserve">Frequency: 10 GHz. </w:t>
      </w:r>
    </w:p>
    <w:p>
      <w:r>
        <w:t xml:space="preserve">Frequency end: 18 GHz. </w:t>
      </w:r>
    </w:p>
    <w:p>
      <w:r>
        <w:t>Layer A permittivity: 3 —. Positive real relative permittivity; measured at the study frequency.</w:t>
      </w:r>
    </w:p>
    <w:p>
      <w:r>
        <w:t>Layer A loss tangent: 0 —. Dielectric loss only; do not count conductivity twice.</w:t>
      </w:r>
    </w:p>
    <w:p>
      <w:r>
        <w:t xml:space="preserve">Layer A conductivity: 0 S/m. </w:t>
      </w:r>
    </w:p>
    <w:p>
      <w:r>
        <w:t xml:space="preserve">Layer A thickness: 1 mm. </w:t>
      </w:r>
    </w:p>
    <w:p>
      <w:r>
        <w:t>Layer B permittivity: 6 —. Positive real relative permittivity; measured at the study frequency.</w:t>
      </w:r>
    </w:p>
    <w:p>
      <w:r>
        <w:t>Layer B loss tangent: 0 —. Dielectric loss only; do not count conductivity twice.</w:t>
      </w:r>
    </w:p>
    <w:p>
      <w:r>
        <w:t xml:space="preserve">Layer B conductivity: 0 S/m. </w:t>
      </w:r>
    </w:p>
    <w:p>
      <w:r>
        <w:t xml:space="preserve">Layer B thickness: 1 mm. </w:t>
      </w:r>
    </w:p>
    <w:p>
      <w:pPr>
        <w:pStyle w:val="Heading2"/>
      </w:pPr>
      <w:r>
        <w:t>Data between modules</w:t>
      </w:r>
    </w:p>
    <w:p>
      <w:r>
        <w:t>EM to Simulation: SIMULATION selects this case and its analysis model; the case owns its applicable cycle and input references.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08" w:name="chapter_108"/>
      <w:pPr>
        <w:pStyle w:val="Heading1"/>
        <w:pageBreakBefore/>
      </w:pPr>
      <w:r>
        <w:t>Open-hole strength</w:t>
      </w:r>
      <w:bookmarkEnd w:id="108"/>
    </w:p>
    <w:p>
      <w:pPr>
        <w:pStyle w:val="Caption"/>
      </w:pPr>
      <w:hyperlink r:id="rId35">
        <w:r>
          <w:rPr>
            <w:color w:val="176EA4"/>
          </w:rPr>
          <w:t>Online chapter</w:t>
        </w:r>
      </w:hyperlink>
      <w:r>
        <w:t xml:space="preserve"> </w:t>
      </w:r>
    </w:p>
    <w:p>
      <w:r>
        <w:t>Open-hole strength. Study-specific dimensions. Models: Whitney–Nuismer open-hole tension.</w:t>
      </w:r>
    </w:p>
    <w:p>
      <w:hyperlink r:id="rId439">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33" name="Picture 133" descr="CDS workflow or model illustration"/>
            <wp:cNvGraphicFramePr>
              <a:graphicFrameLocks noChangeAspect="1"/>
            </wp:cNvGraphicFramePr>
            <a:graphic>
              <a:graphicData uri="http://schemas.openxmlformats.org/drawingml/2006/picture">
                <pic:pic>
                  <pic:nvPicPr>
                    <pic:cNvPr id="0" name="rsvg-bdd03c235dcc89e0eaed3fe31db170283d9e05b469b278b71cb8fa343a9bb757.png"/>
                    <pic:cNvPicPr/>
                  </pic:nvPicPr>
                  <pic:blipFill>
                    <a:blip r:embed="rId440"/>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Infinite-width, specially orthotropic tension screening. Point and average stress distances must be calibrated independently for this laminate. Not compression, bearing or a joint allowable.</w:t>
      </w:r>
    </w:p>
    <w:p>
      <w:pPr>
        <w:pStyle w:val="Heading2"/>
      </w:pPr>
      <w:r>
        <w:t>Recorded validation</w:t>
      </w:r>
    </w:p>
    <w:p>
      <w:r>
        <w:t>2026-09-18 — Not benchmark validated: No matched quantitative reference comparison completed for the full exercise.</w:t>
      </w:r>
    </w:p>
    <w:p>
      <w:r>
        <w:t>Infinite-width, specially orthotropic tension screening. Point and average stress distances must be calibrated independently for this laminate. Not compression, bearing or a joint allowable.</w:t>
      </w:r>
    </w:p>
    <w:p>
      <w:hyperlink r:id="rId441">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Whitney–Nuismer open-hole tension. Infinite-width, specially orthotropic tension screening. Point and average stress distances must be calibrated independently for this laminate. Not compression, bearing or a joint allowable.</w:t>
      </w:r>
    </w:p>
    <w:p>
      <w:hyperlink r:id="rId442">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Hole radius: 3 mm. </w:t>
      </w:r>
    </w:p>
    <w:p>
      <w:r>
        <w:t>Unnotched tensile strength: 500 MPa. Measured laminate strength, not fiber strength.</w:t>
      </w:r>
    </w:p>
    <w:p>
      <w:r>
        <w:t xml:space="preserve">Point stress distance: 1 mm. </w:t>
      </w:r>
    </w:p>
    <w:p>
      <w:r>
        <w:t xml:space="preserve">Average stress distance: 2 mm. </w:t>
      </w:r>
    </w:p>
    <w:p>
      <w:r>
        <w:t xml:space="preserve">Remote tensile stress: 100 MPa.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09" w:name="chapter_109"/>
      <w:pPr>
        <w:pStyle w:val="Heading1"/>
        <w:pageBreakBefore/>
      </w:pPr>
      <w:r>
        <w:t>Creep stress relaxation</w:t>
      </w:r>
      <w:bookmarkEnd w:id="109"/>
    </w:p>
    <w:p>
      <w:pPr>
        <w:pStyle w:val="Caption"/>
      </w:pPr>
      <w:hyperlink r:id="rId35">
        <w:r>
          <w:rPr>
            <w:color w:val="176EA4"/>
          </w:rPr>
          <w:t>Online chapter</w:t>
        </w:r>
      </w:hyperlink>
      <w:r>
        <w:t xml:space="preserve"> </w:t>
      </w:r>
    </w:p>
    <w:p>
      <w:r>
        <w:t>Creep &amp; stress relaxation. Study-specific dimensions. Models: Generalized Maxwell · axial Prony.</w:t>
      </w:r>
    </w:p>
    <w:p>
      <w:hyperlink r:id="rId443">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34" name="Picture 134" descr="CDS workflow or model illustration"/>
            <wp:cNvGraphicFramePr>
              <a:graphicFrameLocks noChangeAspect="1"/>
            </wp:cNvGraphicFramePr>
            <a:graphic>
              <a:graphicData uri="http://schemas.openxmlformats.org/drawingml/2006/picture">
                <pic:pic>
                  <pic:nvPicPr>
                    <pic:cNvPr id="0" name="rsvg-81c900fb563670ed0ef4310ad02a8cde3d0fb9eb486b7b3c67e0fb36aed5bc27.png"/>
                    <pic:cNvPicPr/>
                  </pic:nvPicPr>
                  <pic:blipFill>
                    <a:blip r:embed="rId444"/>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Linear uniaxial response at the calibration temperature. Reference Ex is the instantaneous modulus. Three Maxwell branches; creep is solved from stress equilibrium, not the reciprocal relaxation modulus. No thermal shifting or nonlinear creep.</w:t>
      </w:r>
    </w:p>
    <w:p>
      <w:pPr>
        <w:pStyle w:val="Heading2"/>
      </w:pPr>
      <w:r>
        <w:t>Recorded validation</w:t>
      </w:r>
    </w:p>
    <w:p>
      <w:r>
        <w:t>2026-09-18 — Not benchmark validated: No matched quantitative reference comparison completed for the full exercise.</w:t>
      </w:r>
    </w:p>
    <w:p>
      <w:r>
        <w:t>Linear uniaxial response at the calibration temperature. Reference Ex is the instantaneous modulus. Three Maxwell branches; creep is solved from stress equilibrium, not the reciprocal relaxation modulus. No thermal shifting or nonlinear creep.</w:t>
      </w:r>
    </w:p>
    <w:p>
      <w:hyperlink r:id="rId445">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Generalized Maxwell · axial Prony. Linear uniaxial response at the calibration temperature. Reference Ex is the instantaneous modulus. Three Maxwell branches; creep is solved from stress equilibrium, not the reciprocal relaxation modulus. No thermal shifting or nonlinear creep.</w:t>
      </w:r>
    </w:p>
    <w:p>
      <w:hyperlink r:id="rId446">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Relaxation fraction 1: 0.15 —. </w:t>
      </w:r>
    </w:p>
    <w:p>
      <w:r>
        <w:t xml:space="preserve">Relaxation time 1: 10 s. </w:t>
      </w:r>
    </w:p>
    <w:p>
      <w:r>
        <w:t xml:space="preserve">Relaxation fraction 2: 0.2 —. </w:t>
      </w:r>
    </w:p>
    <w:p>
      <w:r>
        <w:t xml:space="preserve">Relaxation time 2: 100 s. </w:t>
      </w:r>
    </w:p>
    <w:p>
      <w:r>
        <w:t xml:space="preserve">Relaxation fraction 3: 0.1 —. </w:t>
      </w:r>
    </w:p>
    <w:p>
      <w:r>
        <w:t xml:space="preserve">Relaxation time 3: 1000 s. </w:t>
      </w:r>
    </w:p>
    <w:p>
      <w:r>
        <w:t xml:space="preserve">Study duration: 1000 s. </w:t>
      </w:r>
    </w:p>
    <w:p>
      <w:r>
        <w:t xml:space="preserve">Held axial stress: 10 MPa. </w:t>
      </w:r>
    </w:p>
    <w:p>
      <w:r>
        <w:t xml:space="preserve">Held axial strain: 0.001 —. </w:t>
      </w:r>
    </w:p>
    <w:p>
      <w:r>
        <w:t xml:space="preserve">Calibration temperature: 23 °C.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10" w:name="chapter_110"/>
      <w:pPr>
        <w:pStyle w:val="Heading1"/>
        <w:pageBreakBefore/>
      </w:pPr>
      <w:r>
        <w:t>Analytical bonded joint</w:t>
      </w:r>
      <w:bookmarkEnd w:id="110"/>
    </w:p>
    <w:p>
      <w:pPr>
        <w:pStyle w:val="Caption"/>
      </w:pPr>
      <w:hyperlink r:id="rId35">
        <w:r>
          <w:rPr>
            <w:color w:val="176EA4"/>
          </w:rPr>
          <w:t>Online chapter</w:t>
        </w:r>
      </w:hyperlink>
      <w:r>
        <w:t xml:space="preserve"> </w:t>
      </w:r>
    </w:p>
    <w:p>
      <w:r>
        <w:t>Analytical bonded joint. Study-specific dimensions. Models: Volkersen &amp; Goland–Reissner joint.</w:t>
      </w:r>
    </w:p>
    <w:p>
      <w:hyperlink r:id="rId447">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35" name="Picture 135" descr="CDS workflow or model illustration"/>
            <wp:cNvGraphicFramePr>
              <a:graphicFrameLocks noChangeAspect="1"/>
            </wp:cNvGraphicFramePr>
            <a:graphic>
              <a:graphicData uri="http://schemas.openxmlformats.org/drawingml/2006/picture">
                <pic:pic>
                  <pic:nvPicPr>
                    <pic:cNvPr id="0" name="rsvg-da528f9ffd7da25c49216e129c8d0541b8e11ffa9af5f47e85ecc47618c25d8b.png"/>
                    <pic:cNvPicPr/>
                  </pic:nvPicPr>
                  <pic:blipFill>
                    <a:blip r:embed="rId448"/>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Identical equivalent-elastic adherends, long free arms and a thin elastic adhesive. Compare shear-only Volkersen with eccentric single-lap shear and peel. Not a debonding, plasticity or strength calculation.</w:t>
      </w:r>
    </w:p>
    <w:p>
      <w:pPr>
        <w:pStyle w:val="Heading2"/>
      </w:pPr>
      <w:r>
        <w:t>Recorded validation</w:t>
      </w:r>
    </w:p>
    <w:p>
      <w:r>
        <w:t>2026-09-18 — Not benchmark validated: No matched quantitative reference comparison completed for the full exercise.</w:t>
      </w:r>
    </w:p>
    <w:p>
      <w:r>
        <w:t>Identical equivalent-elastic adherends, long free arms and a thin elastic adhesive. Compare shear-only Volkersen with eccentric single-lap shear and peel. Not a debonding, plasticity or strength calculation.</w:t>
      </w:r>
    </w:p>
    <w:p>
      <w:hyperlink r:id="rId449">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Volkersen &amp; Goland–Reissner joint. Identical equivalent-elastic adherends, long free arms and a thin elastic adhesive. Compare shear-only Volkersen with eccentric single-lap shear and peel. Not a debonding, plasticity or strength calculation.</w:t>
      </w:r>
    </w:p>
    <w:p>
      <w:hyperlink r:id="rId450">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Overlap length: 25 mm. </w:t>
      </w:r>
    </w:p>
    <w:p>
      <w:r>
        <w:t xml:space="preserve">Joint width: 25 mm. </w:t>
      </w:r>
    </w:p>
    <w:p>
      <w:r>
        <w:t xml:space="preserve">Adhesive thickness: 0.2 mm. </w:t>
      </w:r>
    </w:p>
    <w:p>
      <w:r>
        <w:t xml:space="preserve">Adhesive modulus: 2000 MPa. </w:t>
      </w:r>
    </w:p>
    <w:p>
      <w:r>
        <w:t xml:space="preserve">Adhesive Poisson ratio: 0.35 —. </w:t>
      </w:r>
    </w:p>
    <w:p>
      <w:r>
        <w:t xml:space="preserve">Joint tensile force: 1000 N.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11" w:name="chapter_111"/>
      <w:pPr>
        <w:pStyle w:val="Heading1"/>
        <w:pageBreakBefore/>
      </w:pPr>
      <w:r>
        <w:t>LaRC04 failure initiation</w:t>
      </w:r>
      <w:bookmarkEnd w:id="111"/>
    </w:p>
    <w:p>
      <w:pPr>
        <w:pStyle w:val="Caption"/>
      </w:pPr>
      <w:hyperlink r:id="rId35">
        <w:r>
          <w:rPr>
            <w:color w:val="176EA4"/>
          </w:rPr>
          <w:t>Online chapter</w:t>
        </w:r>
      </w:hyperlink>
      <w:r>
        <w:t xml:space="preserve"> </w:t>
      </w:r>
    </w:p>
    <w:p>
      <w:r>
        <w:t>LaRC04 failure initiation. Study-specific dimensions. Models: LaRC04 · linear shear.</w:t>
      </w:r>
    </w:p>
    <w:p>
      <w:hyperlink r:id="rId451">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36" name="Picture 136" descr="CDS workflow or model illustration"/>
            <wp:cNvGraphicFramePr>
              <a:graphicFrameLocks noChangeAspect="1"/>
            </wp:cNvGraphicFramePr>
            <a:graphic>
              <a:graphicData uri="http://schemas.openxmlformats.org/drawingml/2006/picture">
                <pic:pic>
                  <pic:nvPicPr>
                    <pic:cNvPr id="0" name="rsvg-724337a6cda29c2d569b44ff018b61620e036adf47c65a0357434be42b89e3e8.png"/>
                    <pic:cNvPicPr/>
                  </pic:nvPicPr>
                  <pic:blipFill>
                    <a:blip r:embed="rId452"/>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NASA LaRC04 linear-shear specialization, evaluated at both faces of every ply under membrane and bending loads. Supplied ply strengths are effective/in-situ values; no automatic thin-ply enhancement. Initiation only, not degradation or nonlinear-shear instability.</w:t>
      </w:r>
    </w:p>
    <w:p>
      <w:pPr>
        <w:pStyle w:val="Heading2"/>
      </w:pPr>
      <w:r>
        <w:t>Recorded validation</w:t>
      </w:r>
    </w:p>
    <w:p>
      <w:r>
        <w:t>2026-09-18 — Not benchmark validated: No matched quantitative reference comparison completed for the full exercise.</w:t>
      </w:r>
    </w:p>
    <w:p>
      <w:r>
        <w:t>NASA LaRC04 linear-shear specialization, evaluated at both faces of every ply under membrane and bending loads. Supplied ply strengths are effective/in-situ values; no automatic thin-ply enhancement. Initiation only, not degradation or nonlinear-shear instability.</w:t>
      </w:r>
    </w:p>
    <w:p>
      <w:hyperlink r:id="rId453">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LaRC04 · linear shear. NASA LaRC04 linear-shear specialization, evaluated at both faces of every ply under membrane and bending loads. Supplied ply strengths are effective/in-situ values; no automatic thin-ply enhancement. Initiation only, not degradation or nonlinear-shear instability.</w:t>
      </w:r>
    </w:p>
    <w:p>
      <w:hyperlink r:id="rId454">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Fiber tensile strength: 1500 MPa. </w:t>
      </w:r>
    </w:p>
    <w:p>
      <w:r>
        <w:t xml:space="preserve">Fiber compressive strength: 900 MPa. </w:t>
      </w:r>
    </w:p>
    <w:p>
      <w:r>
        <w:t xml:space="preserve">Matrix tensile strength: 50 MPa. </w:t>
      </w:r>
    </w:p>
    <w:p>
      <w:r>
        <w:t xml:space="preserve">Matrix compressive strength: 200 MPa. </w:t>
      </w:r>
    </w:p>
    <w:p>
      <w:r>
        <w:t xml:space="preserve">Longitudinal shear strength: 75 MPa. </w:t>
      </w:r>
    </w:p>
    <w:p>
      <w:r>
        <w:t xml:space="preserve">Fracture angle: 53 deg. </w:t>
      </w:r>
    </w:p>
    <w:p>
      <w:r>
        <w:t xml:space="preserve">Fracture toughness ratio: 0.35 —.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12" w:name="chapter_112"/>
      <w:pPr>
        <w:pStyle w:val="Heading1"/>
        <w:pageBreakBefore/>
      </w:pPr>
      <w:r>
        <w:t>Tool-release shape</w:t>
      </w:r>
      <w:bookmarkEnd w:id="112"/>
    </w:p>
    <w:p>
      <w:pPr>
        <w:pStyle w:val="Caption"/>
      </w:pPr>
      <w:hyperlink r:id="rId35">
        <w:r>
          <w:rPr>
            <w:color w:val="176EA4"/>
          </w:rPr>
          <w:t>Online chapter</w:t>
        </w:r>
      </w:hyperlink>
      <w:r>
        <w:t xml:space="preserve"> </w:t>
      </w:r>
    </w:p>
    <w:p>
      <w:r>
        <w:t>Tool-release shape. Study-specific dimensions. Models: Free-release eigenstrain &amp; spring-in.</w:t>
      </w:r>
    </w:p>
    <w:p>
      <w:hyperlink r:id="rId455">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37" name="Picture 137" descr="CDS workflow or model illustration"/>
            <wp:cNvGraphicFramePr>
              <a:graphicFrameLocks noChangeAspect="1"/>
            </wp:cNvGraphicFramePr>
            <a:graphic>
              <a:graphicData uri="http://schemas.openxmlformats.org/drawingml/2006/picture">
                <pic:pic>
                  <pic:nvPicPr>
                    <pic:cNvPr id="0" name="rsvg-1425beeef6e7ef42d19bfe364afb406421388c41334f555a333802bcbf3b6ff7.png"/>
                    <pic:cNvPicPr/>
                  </pic:nvPicPr>
                  <pic:blipFill>
                    <a:blip r:embed="rId456"/>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Free CLT release from prescribed ply-local shrinkage/thermal eigenstrains. Corner spring-in is a separate uniform-strain estimate. Stress-free temperature and effective post-gel shrinkage need calibration. No tool friction, cure kinetics or viscoelastic restraint history.</w:t>
      </w:r>
    </w:p>
    <w:p>
      <w:pPr>
        <w:pStyle w:val="Heading2"/>
      </w:pPr>
      <w:r>
        <w:t>Recorded validation</w:t>
      </w:r>
    </w:p>
    <w:p>
      <w:r>
        <w:t>2026-09-18 — Not benchmark validated: No matched quantitative reference comparison completed for the full exercise.</w:t>
      </w:r>
    </w:p>
    <w:p>
      <w:r>
        <w:t>Free CLT release from prescribed ply-local shrinkage/thermal eigenstrains. Corner spring-in is a separate uniform-strain estimate. Stress-free temperature and effective post-gel shrinkage need calibration. No tool friction, cure kinetics or viscoelastic restraint history.</w:t>
      </w:r>
    </w:p>
    <w:p>
      <w:hyperlink r:id="rId457">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Free-release eigenstrain &amp; spring-in. Free CLT release from prescribed ply-local shrinkage/thermal eigenstrains. Corner spring-in is a separate uniform-strain estimate. Stress-free temperature and effective post-gel shrinkage need calibration. No tool friction, cure kinetics or viscoelastic restraint history.</w:t>
      </w:r>
    </w:p>
    <w:p>
      <w:hyperlink r:id="rId458">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Stress-free temperature: 180 °C. </w:t>
      </w:r>
    </w:p>
    <w:p>
      <w:r>
        <w:t xml:space="preserve">Release temperature: 23 °C. </w:t>
      </w:r>
    </w:p>
    <w:p>
      <w:r>
        <w:t xml:space="preserve">Axial CTE: 0 1/K. </w:t>
      </w:r>
    </w:p>
    <w:p>
      <w:r>
        <w:t xml:space="preserve">Transverse CTE: 0.00003 1/K. </w:t>
      </w:r>
    </w:p>
    <w:p>
      <w:r>
        <w:t xml:space="preserve">Through-thickness CTE: 0.00005 1/K. </w:t>
      </w:r>
    </w:p>
    <w:p>
      <w:r>
        <w:t>Axial cure shrinkage: 0 —. Signed strain: negative means contraction.</w:t>
      </w:r>
    </w:p>
    <w:p>
      <w:r>
        <w:t xml:space="preserve">Transverse cure shrinkage: -0.002 —. </w:t>
      </w:r>
    </w:p>
    <w:p>
      <w:r>
        <w:t xml:space="preserve">Through-thickness cure shrinkage: -0.005 —. </w:t>
      </w:r>
    </w:p>
    <w:p>
      <w:r>
        <w:t xml:space="preserve">Corner angle: 90 deg. </w:t>
      </w:r>
    </w:p>
    <w:p>
      <w:r>
        <w:t xml:space="preserve">Shape length: 25 mm.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13" w:name="chapter_113"/>
      <w:pPr>
        <w:pStyle w:val="Heading1"/>
        <w:pageBreakBefore/>
      </w:pPr>
      <w:r>
        <w:t>Fatigue residual properties</w:t>
      </w:r>
      <w:bookmarkEnd w:id="113"/>
    </w:p>
    <w:p>
      <w:pPr>
        <w:pStyle w:val="Caption"/>
      </w:pPr>
      <w:hyperlink r:id="rId35">
        <w:r>
          <w:rPr>
            <w:color w:val="176EA4"/>
          </w:rPr>
          <w:t>Online chapter</w:t>
        </w:r>
      </w:hyperlink>
      <w:r>
        <w:t xml:space="preserve"> </w:t>
      </w:r>
    </w:p>
    <w:p>
      <w:r>
        <w:t>Fatigue residual properties. Study-specific dimensions. Models: Calibrated residual-property fatigue.</w:t>
      </w:r>
    </w:p>
    <w:p>
      <w:hyperlink r:id="rId459">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38" name="Picture 138" descr="CDS workflow or model illustration"/>
            <wp:cNvGraphicFramePr>
              <a:graphicFrameLocks noChangeAspect="1"/>
            </wp:cNvGraphicFramePr>
            <a:graphic>
              <a:graphicData uri="http://schemas.openxmlformats.org/drawingml/2006/picture">
                <pic:pic>
                  <pic:nvPicPr>
                    <pic:cNvPr id="0" name="rsvg-a5c0e757f307b1912a8acfc544943db344bb7081b3a66500a1a4c60ad8079e5e.png"/>
                    <pic:cNvPicPr/>
                  </pic:nvPicPr>
                  <pic:blipFill>
                    <a:blip r:embed="rId460"/>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Prescribed power-law retention fitted to constant-amplitude tests at a fixed stress ratio, amplitude and temperature. Stiffness and strength have independent coefficients. S–N life alone cannot calibrate either. Does not modify the saved laminate.</w:t>
      </w:r>
    </w:p>
    <w:p>
      <w:pPr>
        <w:pStyle w:val="Heading2"/>
      </w:pPr>
      <w:r>
        <w:t>Recorded validation</w:t>
      </w:r>
    </w:p>
    <w:p>
      <w:r>
        <w:t>2026-09-18 — Not benchmark validated: No matched quantitative reference comparison completed for the full exercise.</w:t>
      </w:r>
    </w:p>
    <w:p>
      <w:r>
        <w:t>Prescribed power-law retention fitted to constant-amplitude tests at a fixed stress ratio, amplitude and temperature. Stiffness and strength have independent coefficients. S–N life alone cannot calibrate either. Does not modify the saved laminate.</w:t>
      </w:r>
    </w:p>
    <w:p>
      <w:hyperlink r:id="rId461">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Calibrated residual-property fatigue. Prescribed power-law retention fitted to constant-amplitude tests at a fixed stress ratio, amplitude and temperature. Stiffness and strength have independent coefficients. S–N life alone cannot calibrate either. Does not modify the saved laminate.</w:t>
      </w:r>
    </w:p>
    <w:p>
      <w:hyperlink r:id="rId462">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Calibrated fatigue life: 1000000 cycles. </w:t>
      </w:r>
    </w:p>
    <w:p>
      <w:r>
        <w:t xml:space="preserve">Elapsed cycles: 500000 cycles. </w:t>
      </w:r>
    </w:p>
    <w:p>
      <w:r>
        <w:t xml:space="preserve">Stiffness loss at life: 0.3 —. </w:t>
      </w:r>
    </w:p>
    <w:p>
      <w:r>
        <w:t xml:space="preserve">Stiffness exponent: 1.5 —. </w:t>
      </w:r>
    </w:p>
    <w:p>
      <w:r>
        <w:t xml:space="preserve">Strength loss at life: 0.5 —. </w:t>
      </w:r>
    </w:p>
    <w:p>
      <w:r>
        <w:t xml:space="preserve">Strength exponent: 1 —. </w:t>
      </w:r>
    </w:p>
    <w:p>
      <w:r>
        <w:t xml:space="preserve">Initial residual strength: 500 MPa. </w:t>
      </w:r>
    </w:p>
    <w:p>
      <w:r>
        <w:t xml:space="preserve">Calibration stress ratio: 0.1 —. </w:t>
      </w:r>
    </w:p>
    <w:p>
      <w:r>
        <w:t xml:space="preserve">Calibration peak stress: 200 MPa. </w:t>
      </w:r>
    </w:p>
    <w:p>
      <w:r>
        <w:t xml:space="preserve">Calibration temperature: 23 °C.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14" w:name="chapter_114"/>
      <w:pPr>
        <w:pStyle w:val="Heading1"/>
        <w:pageBreakBefore/>
      </w:pPr>
      <w:r>
        <w:t>Cylinder buckling</w:t>
      </w:r>
      <w:bookmarkEnd w:id="114"/>
    </w:p>
    <w:p>
      <w:pPr>
        <w:pStyle w:val="Caption"/>
      </w:pPr>
      <w:hyperlink r:id="rId35">
        <w:r>
          <w:rPr>
            <w:color w:val="176EA4"/>
          </w:rPr>
          <w:t>Online chapter</w:t>
        </w:r>
      </w:hyperlink>
      <w:r>
        <w:t xml:space="preserve"> </w:t>
      </w:r>
    </w:p>
    <w:p>
      <w:r>
        <w:t>Cylinder buckling. Study-specific dimensions. Models: Donnell cylinder · axial buckling.</w:t>
      </w:r>
    </w:p>
    <w:p>
      <w:hyperlink r:id="rId463">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39" name="Picture 139" descr="CDS workflow or model illustration"/>
            <wp:cNvGraphicFramePr>
              <a:graphicFrameLocks noChangeAspect="1"/>
            </wp:cNvGraphicFramePr>
            <a:graphic>
              <a:graphicData uri="http://schemas.openxmlformats.org/drawingml/2006/picture">
                <pic:pic>
                  <pic:nvPicPr>
                    <pic:cNvPr id="0" name="rsvg-712275f9aa943336ac7e85c82fcd4fb87d6ac42f6bfe799ff37e21d944467fd4.png"/>
                    <pic:cNvPicPr/>
                  </pic:nvPicPr>
                  <pic:blipFill>
                    <a:blip r:embed="rId464"/>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pPr>
        <w:pStyle w:val="Heading2"/>
      </w:pPr>
      <w:r>
        <w:t>Recorded validation</w:t>
      </w:r>
    </w:p>
    <w:p>
      <w:r>
        <w:t>2026-09-18 — Not benchmark validated: No matched quantitative reference comparison completed for the full exercise.</w:t>
      </w:r>
    </w:p>
    <w:p>
      <w: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hyperlink r:id="rId465">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Donnell cylinder · axial buckling. 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hyperlink r:id="rId466">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Shell mean radius: 100 mm. </w:t>
      </w:r>
    </w:p>
    <w:p>
      <w:r>
        <w:t xml:space="preserve">Shell length: 500 mm. </w:t>
      </w:r>
    </w:p>
    <w:p>
      <w:r>
        <w:t xml:space="preserve">Axial compression resultant: 100 N/mm. </w:t>
      </w:r>
    </w:p>
    <w:p>
      <w:r>
        <w:t xml:space="preserve">Imperfection knockdown factor: 0.65 —. </w:t>
      </w:r>
    </w:p>
    <w:p>
      <w:r>
        <w:t xml:space="preserve">Mode search limit: 40 —.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p>
      <w:bookmarkStart w:id="115" w:name="chapter_115"/>
      <w:pPr>
        <w:pStyle w:val="Heading1"/>
        <w:pageBreakBefore/>
      </w:pPr>
      <w:r>
        <w:t>Uncertainty sensitivity</w:t>
      </w:r>
      <w:bookmarkEnd w:id="115"/>
    </w:p>
    <w:p>
      <w:pPr>
        <w:pStyle w:val="Caption"/>
      </w:pPr>
      <w:hyperlink r:id="rId35">
        <w:r>
          <w:rPr>
            <w:color w:val="176EA4"/>
          </w:rPr>
          <w:t>Online chapter</w:t>
        </w:r>
      </w:hyperlink>
      <w:r>
        <w:t xml:space="preserve"> </w:t>
      </w:r>
    </w:p>
    <w:p>
      <w:r>
        <w:t>Uncertainty &amp; sensitivity. Study-specific dimensions. Models: Seeded laminate uncertainty.</w:t>
      </w:r>
    </w:p>
    <w:p>
      <w:hyperlink r:id="rId467">
        <w:r>
          <w:rPr>
            <w:color w:val="176EA4"/>
          </w:rPr>
          <w:t>Open this exercise in Workbench</w:t>
        </w:r>
      </w:hyperlink>
      <w:r>
        <w:t xml:space="preserve"> </w:t>
      </w:r>
    </w:p>
    <w:p>
      <w:pPr>
        <w:keepNext w:val="0"/>
        <w:jc w:val="center"/>
      </w:pPr>
      <w:r>
        <w:drawing>
          <wp:inline xmlns:a="http://schemas.openxmlformats.org/drawingml/2006/main" xmlns:pic="http://schemas.openxmlformats.org/drawingml/2006/picture">
            <wp:extent cx="6217920" cy="3067645"/>
            <wp:docPr id="140" name="Picture 140" descr="CDS workflow or model illustration"/>
            <wp:cNvGraphicFramePr>
              <a:graphicFrameLocks noChangeAspect="1"/>
            </wp:cNvGraphicFramePr>
            <a:graphic>
              <a:graphicData uri="http://schemas.openxmlformats.org/drawingml/2006/picture">
                <pic:pic>
                  <pic:nvPicPr>
                    <pic:cNvPr id="0" name="rsvg-4c1468a56a241d480f17d3d15b593784efd5d52b90bbe8fccc9d7aae1ad7ee0f.png"/>
                    <pic:cNvPicPr/>
                  </pic:nvPicPr>
                  <pic:blipFill>
                    <a:blip r:embed="rId468"/>
                    <a:stretch>
                      <a:fillRect/>
                    </a:stretch>
                  </pic:blipFill>
                  <pic:spPr>
                    <a:xfrm>
                      <a:off x="0" y="0"/>
                      <a:ext cx="6217920" cy="3067645"/>
                    </a:xfrm>
                    <a:prstGeom prst="rect"/>
                  </pic:spPr>
                </pic:pic>
              </a:graphicData>
            </a:graphic>
          </wp:inline>
        </w:drawing>
      </w:r>
    </w:p>
    <w:p>
      <w:pPr>
        <w:pStyle w:val="Heading2"/>
      </w:pPr>
      <w:r>
        <w:t>Setup</w:t>
      </w:r>
    </w:p>
    <w:p>
      <w:r>
        <w:t>Illustrative calibration only. Start with a 16-ply cross-ply reference laminate; this is a separate, reference-state study.</w:t>
      </w:r>
    </w:p>
    <w:p>
      <w:pPr>
        <w:pStyle w:val="Heading2"/>
      </w:pPr>
      <w:r>
        <w:t>Tasks</w:t>
      </w:r>
    </w:p>
    <w:p>
      <w:r>
        <w:t>Trace the laminate link and review the model scope before running.</w:t>
      </w:r>
    </w:p>
    <w:p>
      <w:r>
        <w:t>Run the separate study and inspect the curves and parameter basis.</w:t>
      </w:r>
    </w:p>
    <w:p>
      <w:r>
        <w:t>Change one study parameter, rerun, and explain the trend using the equations.</w:t>
      </w:r>
    </w:p>
    <w:p>
      <w:pPr>
        <w:pStyle w:val="Heading2"/>
      </w:pPr>
      <w:r>
        <w:t>Checkpoints</w:t>
      </w:r>
    </w:p>
    <w:p>
      <w:r>
        <w:t>Do not interpret example calibration values as material allowables.</w:t>
      </w:r>
    </w:p>
    <w:p>
      <w:r>
        <w:t>Record the assumptions and distinguish analytical verification from experimental validation.</w:t>
      </w:r>
    </w:p>
    <w:p>
      <w:pPr>
        <w:pStyle w:val="Heading2"/>
      </w:pPr>
      <w:r>
        <w:t>Model limits</w:t>
      </w:r>
    </w:p>
    <w:p>
      <w:r>
        <w:t>Seeded independent uniform sampling of shared modulus, ply-thickness and angle offsets. Recomputes laminate ABD for each sample. Bounds are assumptions, not measured distributions. Percentiles and sensitivity are exploratory, not reliability certification.</w:t>
      </w:r>
    </w:p>
    <w:p>
      <w:pPr>
        <w:pStyle w:val="Heading2"/>
      </w:pPr>
      <w:r>
        <w:t>Recorded validation</w:t>
      </w:r>
    </w:p>
    <w:p>
      <w:r>
        <w:t>2026-09-18 — Not benchmark validated: No matched quantitative reference comparison completed for the full exercise.</w:t>
      </w:r>
    </w:p>
    <w:p>
      <w:r>
        <w:t>Seeded independent uniform sampling of shared modulus, ply-thickness and angle offsets. Recomputes laminate ABD for each sample. Bounds are assumptions, not measured distributions. Percentiles and sensitivity are exploratory, not reliability certification.</w:t>
      </w:r>
    </w:p>
    <w:p>
      <w:hyperlink r:id="rId469">
        <w:r>
          <w:rPr>
            <w:color w:val="176EA4"/>
          </w:rPr>
          <w:t>Validation evidence and tested inputs</w:t>
        </w:r>
      </w:hyperlink>
      <w:r>
        <w:t xml:space="preserve"> </w:t>
      </w:r>
    </w:p>
    <w:p>
      <w:pPr>
        <w:pStyle w:val="Heading2"/>
      </w:pPr>
      <w:r>
        <w:t>Connected models and submodels</w:t>
      </w:r>
    </w:p>
    <w:p>
      <w:r>
        <w:t>Kamal–Sourour autocatalytic.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Illustrative model defaults — replace with characterized resin kinetics</w:t>
      </w:r>
    </w:p>
    <w:p>
      <w:r>
        <w:t>CHILE (degree of cure). Reusable material model. It contributes only when assigned to a material used by this simulation; separate model records can supply independent properties. Cure-dependent modulus does not automatically scale strength allowables.</w:t>
      </w:r>
    </w:p>
    <w:p>
      <w:hyperlink r:id="rId18">
        <w:r>
          <w:rPr>
            <w:color w:val="176EA4"/>
          </w:rPr>
          <w:t>Theory and assumptions</w:t>
        </w:r>
      </w:hyperlink>
      <w:r>
        <w:t xml:space="preserve"> </w:t>
      </w:r>
    </w:p>
    <w:p>
      <w:r>
        <w:t>Calibration &amp; applicability. 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r>
        <w:t>Temperature-dependent tabular. Reusable material model. It contributes only when assigned to a material used by this simulation; separate model records can supply independent properties. Micro uses the 23 °C reference; Process evaluates the same table at local temperature, without extrapolation.</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1D Fickian diffusion. Reusable material model. It contributes only when assigned to a material used by this simulation; separate model records can supply independent properties.</w:t>
      </w:r>
    </w:p>
    <w:p>
      <w:hyperlink r:id="rId18">
        <w:r>
          <w:rPr>
            <w:color w:val="176EA4"/>
          </w:rPr>
          <w:t>Theory and assumptions</w:t>
        </w:r>
      </w:hyperlink>
      <w:r>
        <w:t xml:space="preserve"> </w:t>
      </w:r>
    </w:p>
    <w:p>
      <w:r>
        <w:t>Calibration &amp; applicability. Check source data, applicable environment and validity limits in the model record; saved defaults are not experimental validation.</w:t>
      </w:r>
    </w:p>
    <w:p>
      <w:r>
        <w:t>Halpin–Tsai. One compatible homogenization model per Micro recipe. Separate recipes compare models; their predictions are not blended.</w:t>
      </w:r>
    </w:p>
    <w:p>
      <w:hyperlink r:id="rId19">
        <w:r>
          <w:rPr>
            <w:color w:val="176EA4"/>
          </w:rPr>
          <w:t>Theory and assumptions</w:t>
        </w:r>
      </w:hyperlink>
      <w:r>
        <w:t xml:space="preserve"> </w:t>
      </w:r>
    </w:p>
    <w:p>
      <w:r>
        <w:t>Seeded laminate uncertainty. Seeded independent uniform sampling of shared modulus, ply-thickness and angle offsets. Recomputes laminate ABD for each sample. Bounds are assumptions, not measured distributions. Percentiles and sensitivity are exploratory, not reliability certification.</w:t>
      </w:r>
    </w:p>
    <w:p>
      <w:hyperlink r:id="rId470">
        <w:r>
          <w:rPr>
            <w:color w:val="176EA4"/>
          </w:rPr>
          <w:t>Theory and assumptions</w:t>
        </w:r>
      </w:hyperlink>
      <w:r>
        <w:t xml:space="preserve"> </w:t>
      </w:r>
    </w:p>
    <w:p>
      <w:r>
        <w:t>Linked laminate reference state. Ply stiffness, thickness and orientation come from the linked laminate. Other thermal or structural analyses must be run separately.</w:t>
      </w:r>
    </w:p>
    <w:p>
      <w:r>
        <w:t>Calibration &amp; study controls. Teaching example</w:t>
      </w:r>
    </w:p>
    <w:p>
      <w:r>
        <w:t xml:space="preserve">Sample count: 200 —. </w:t>
      </w:r>
    </w:p>
    <w:p>
      <w:r>
        <w:t xml:space="preserve">Random seed: 2026 —. </w:t>
      </w:r>
    </w:p>
    <w:p>
      <w:r>
        <w:t xml:space="preserve">Modulus half-range: 0.1 —. </w:t>
      </w:r>
    </w:p>
    <w:p>
      <w:r>
        <w:t xml:space="preserve">Thickness half-range: 0.05 —. </w:t>
      </w:r>
    </w:p>
    <w:p>
      <w:r>
        <w:t xml:space="preserve">Angle half-range: 3 deg. </w:t>
      </w:r>
    </w:p>
    <w:p>
      <w:r>
        <w:t xml:space="preserve">Axial resultant: 100 N/mm. </w:t>
      </w:r>
    </w:p>
    <w:p>
      <w:pPr>
        <w:pStyle w:val="Heading2"/>
      </w:pPr>
      <w:r>
        <w:t>Data between modules</w:t>
      </w:r>
    </w:p>
    <w:p>
      <w:r>
        <w:t>Micro to Laminates: Predicted ply stiffness, strength, density and expansion properties.</w:t>
      </w:r>
    </w:p>
    <w:p>
      <w:r>
        <w:t>Materials to Micro: Constituent stiffness, strength, density and thermal / moisture properties.</w:t>
      </w:r>
    </w:p>
    <w:p>
      <w:r>
        <w:t>Models to Materials: Model choices and calibrated parameters.</w:t>
      </w:r>
    </w:p>
    <w:p>
      <w:r>
        <w:t>Mechanical to Simulation: SIMULATION selects this case and its analysis model; the case owns its applicable cycle and input references.</w:t>
      </w:r>
    </w:p>
    <w:p>
      <w:r>
        <w:t>Laminates to Mechanical: Ply angles and thicknesses, stiffness, mass and ply properties.</w:t>
      </w:r>
    </w:p>
    <w:p>
      <w:r>
        <w:t>Simulation to Optimization: Linked inputs and current-property response for candidate evaluation.</w:t>
      </w:r>
    </w:p>
    <w:p>
      <w:pPr>
        <w:pStyle w:val="Heading2"/>
      </w:pPr>
      <w:r>
        <w:t>References</w:t>
      </w:r>
    </w:p>
    <w:p>
      <w:hyperlink r:id="rId390">
        <w:r>
          <w:rPr>
            <w:color w:val="176EA4"/>
          </w:rPr>
          <w:t>Advanced analytical models: equations, calibration and limits</w:t>
        </w:r>
      </w:hyperlink>
      <w:r>
        <w:t xml:space="preserve"> </w:t>
      </w:r>
    </w:p>
    <w:p>
      <w:hyperlink r:id="rId128">
        <w:r>
          <w:rPr>
            <w:color w:val="176EA4"/>
          </w:rPr>
          <w:t>Edit laminate materials, angles and thicknesses</w:t>
        </w:r>
      </w:hyperlink>
      <w:r>
        <w:t xml:space="preserve"> </w:t>
      </w:r>
    </w:p>
    <w:p>
      <w:hyperlink r:id="rId33">
        <w:r>
          <w:rPr>
            <w:color w:val="176EA4"/>
          </w:rPr>
          <w:t>Run and review a model</w:t>
        </w:r>
      </w:hyperlink>
      <w:r>
        <w:t xml:space="preserve"> </w:t>
      </w:r>
    </w:p>
    <w:p>
      <w:pPr>
        <w:keepNext/>
      </w:pPr>
      <w:hyperlink r:id="rId32">
        <w:r>
          <w:rPr>
            <w:color w:val="176EA4"/>
          </w:rPr>
          <w:t>Connected inputs and result freshness</w:t>
        </w:r>
      </w:hyperlink>
      <w:r>
        <w:t xml:space="preserve"> </w:t>
      </w:r>
    </w:p>
    <w:p>
      <w:r>
        <w:t>Record the inputs, units, solver notices and checkpoint results before drawing a conclusion. When exploring a variation, change one factor at a time and compare it with the original case.</w:t>
      </w:r>
    </w:p>
    <w:sectPr w:rsidR="00FC693F" w:rsidRPr="0006063C" w:rsidSect="00034616">
      <w:footerReference w:type="default" r:id="rId9"/>
      <w:pgSz w:w="12240" w:h="15840"/>
      <w:pgMar w:top="1008"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CDS Composites    |    Training &amp; Exercise Manual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mbria" w:hAnsi="Cambr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cstheme="majorBidi" w:ascii="Cambria" w:hAnsi="Cambria"/>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cstheme="majorBidi" w:ascii="Cambria" w:hAnsi="Cambria"/>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cstheme="majorBidi" w:ascii="Cambria" w:hAnsi="Cambria"/>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cstheme="majorBidi" w:ascii="Cambria" w:hAnsi="Cambria"/>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Cambria" w:hAnsi="Cambria"/>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dscomposites.com/getting-started/case-studies" TargetMode="External"/><Relationship Id="rId11" Type="http://schemas.openxmlformats.org/officeDocument/2006/relationships/hyperlink" Target="https://cdscomposites.com/workflow/models" TargetMode="External"/><Relationship Id="rId12" Type="http://schemas.openxmlformats.org/officeDocument/2006/relationships/hyperlink" Target="https://cdscomposites.com/account/library" TargetMode="External"/><Relationship Id="rId13" Type="http://schemas.openxmlformats.org/officeDocument/2006/relationships/hyperlink" Target="https://cdscomposites.com/#create" TargetMode="External"/><Relationship Id="rId14" Type="http://schemas.openxmlformats.org/officeDocument/2006/relationships/hyperlink" Target="https://cdscomposites.com/overview/why-composites#live-study" TargetMode="External"/><Relationship Id="rId15" Type="http://schemas.openxmlformats.org/officeDocument/2006/relationships/hyperlink" Target="https://cdscomposites.com/account" TargetMode="External"/><Relationship Id="rId16" Type="http://schemas.openxmlformats.org/officeDocument/2006/relationships/hyperlink" Target="https://cdscomposites.com/exercise-workflows/case-lamina-analysis.svg" TargetMode="External"/><Relationship Id="rId17" Type="http://schemas.openxmlformats.org/officeDocument/2006/relationships/image" Target="media/image1.png"/><Relationship Id="rId18" Type="http://schemas.openxmlformats.org/officeDocument/2006/relationships/hyperlink" Target="https://cdscomposites.com/help/processing" TargetMode="External"/><Relationship Id="rId19" Type="http://schemas.openxmlformats.org/officeDocument/2006/relationships/hyperlink" Target="https://cdscomposites.com/help/micromechanics" TargetMode="External"/><Relationship Id="rId20" Type="http://schemas.openxmlformats.org/officeDocument/2006/relationships/hyperlink" Target="https://cdscomposites.com/help/laminates" TargetMode="External"/><Relationship Id="rId21" Type="http://schemas.openxmlformats.org/officeDocument/2006/relationships/hyperlink" Target="https://cds-engineering-workbench.mactierney322698.chatgpt.site/?exercise=case-lamina-analysis" TargetMode="External"/><Relationship Id="rId22" Type="http://schemas.openxmlformats.org/officeDocument/2006/relationships/hyperlink" Target="https://cdscomposites.com/account/databases" TargetMode="External"/><Relationship Id="rId23" Type="http://schemas.openxmlformats.org/officeDocument/2006/relationships/hyperlink" Target="https://ntrs.nasa.gov/api/citations/20160001347/downloads/20160001347.pdf" TargetMode="External"/><Relationship Id="rId24" Type="http://schemas.openxmlformats.org/officeDocument/2006/relationships/hyperlink" Target="https://cdscomposites.com/api/validation/exercises?exercise=case-lamina-analysis" TargetMode="External"/><Relationship Id="rId25" Type="http://schemas.openxmlformats.org/officeDocument/2006/relationships/hyperlink" Target="https://cdscomposites.com/getting-started/validation" TargetMode="External"/><Relationship Id="rId26" Type="http://schemas.openxmlformats.org/officeDocument/2006/relationships/hyperlink" Target="https://cdscomposites.com/getting-started/workbench" TargetMode="External"/><Relationship Id="rId27" Type="http://schemas.openxmlformats.org/officeDocument/2006/relationships/hyperlink" Target="https://cdscomposites.com/help" TargetMode="External"/><Relationship Id="rId28" Type="http://schemas.openxmlformats.org/officeDocument/2006/relationships/hyperlink" Target="https://cds-composite-design.mactierney322698.chatgpt.site/getting-started/case-studies/lamina-analysis" TargetMode="External"/><Relationship Id="rId29" Type="http://schemas.openxmlformats.org/officeDocument/2006/relationships/hyperlink" Target="https://cds-composite-design.mactierney322698.chatgpt.site/getting-started/materials#edit-properties" TargetMode="External"/><Relationship Id="rId30" Type="http://schemas.openxmlformats.org/officeDocument/2006/relationships/hyperlink" Target="https://cds-composite-design.mactierney322698.chatgpt.site/getting-started/laminas-laminates#create-lamina" TargetMode="External"/><Relationship Id="rId31" Type="http://schemas.openxmlformats.org/officeDocument/2006/relationships/hyperlink" Target="https://cds-composite-design.mactierney322698.chatgpt.site/getting-started/laminas-laminates#effective-results" TargetMode="External"/><Relationship Id="rId32" Type="http://schemas.openxmlformats.org/officeDocument/2006/relationships/hyperlink" Target="https://cds-composite-design.mactierney322698.chatgpt.site/getting-started/connected-workbench#freshness" TargetMode="External"/><Relationship Id="rId33" Type="http://schemas.openxmlformats.org/officeDocument/2006/relationships/hyperlink" Target="https://cds-composite-design.mactierney322698.chatgpt.site/getting-started/process-simulations#run-case" TargetMode="External"/><Relationship Id="rId34" Type="http://schemas.openxmlformats.org/officeDocument/2006/relationships/hyperlink" Target="https://cdscomposites.com/getting-started/case-studies/lamina-analysis" TargetMode="External"/><Relationship Id="rId35" Type="http://schemas.openxmlformats.org/officeDocument/2006/relationships/hyperlink" Target="https://cdscomposites.com/getting-started/exercises" TargetMode="External"/><Relationship Id="rId36" Type="http://schemas.openxmlformats.org/officeDocument/2006/relationships/hyperlink" Target="https://cdscomposites.com/getting-started/case-studies/laminate-design" TargetMode="External"/><Relationship Id="rId37" Type="http://schemas.openxmlformats.org/officeDocument/2006/relationships/hyperlink" Target="https://cdscomposites.com/exercise-workflows/case-laminate-design.svg" TargetMode="External"/><Relationship Id="rId38" Type="http://schemas.openxmlformats.org/officeDocument/2006/relationships/image" Target="media/image2.png"/><Relationship Id="rId39" Type="http://schemas.openxmlformats.org/officeDocument/2006/relationships/hyperlink" Target="https://cdscomposites.com/help/structural/cylinder-shell" TargetMode="External"/><Relationship Id="rId40" Type="http://schemas.openxmlformats.org/officeDocument/2006/relationships/hyperlink" Target="https://ntrs.nasa.gov/api/citations/20140006740/downloads/20140006740.pdf?attachment=true" TargetMode="External"/><Relationship Id="rId41" Type="http://schemas.openxmlformats.org/officeDocument/2006/relationships/hyperlink" Target="https://cdscomposites.com/api/validation/exercises?exercise=case-laminate-design" TargetMode="External"/><Relationship Id="rId42" Type="http://schemas.openxmlformats.org/officeDocument/2006/relationships/hyperlink" Target="https://cdscomposites.com/getting-started/case-studies/process-cure" TargetMode="External"/><Relationship Id="rId43" Type="http://schemas.openxmlformats.org/officeDocument/2006/relationships/hyperlink" Target="https://cdscomposites.com/exercise-workflows/case-process-cure.svg" TargetMode="External"/><Relationship Id="rId44" Type="http://schemas.openxmlformats.org/officeDocument/2006/relationships/image" Target="media/image3.png"/><Relationship Id="rId45" Type="http://schemas.openxmlformats.org/officeDocument/2006/relationships/hyperlink" Target="https://cdscomposites.com/help/processing/transient-heat" TargetMode="External"/><Relationship Id="rId46" Type="http://schemas.openxmlformats.org/officeDocument/2006/relationships/hyperlink" Target="https://ntrs.nasa.gov/citations/20200000350" TargetMode="External"/><Relationship Id="rId47" Type="http://schemas.openxmlformats.org/officeDocument/2006/relationships/hyperlink" Target="https://cdscomposites.com/api/validation/exercises?exercise=case-process-cure" TargetMode="External"/><Relationship Id="rId48" Type="http://schemas.openxmlformats.org/officeDocument/2006/relationships/hyperlink" Target="https://cdscomposites.com/getting-started/case-studies/structural-pressure" TargetMode="External"/><Relationship Id="rId49" Type="http://schemas.openxmlformats.org/officeDocument/2006/relationships/hyperlink" Target="https://cdscomposites.com/exercise-workflows/case-structural-pressure.svg" TargetMode="External"/><Relationship Id="rId50" Type="http://schemas.openxmlformats.org/officeDocument/2006/relationships/image" Target="media/image4.png"/><Relationship Id="rId51" Type="http://schemas.openxmlformats.org/officeDocument/2006/relationships/hyperlink" Target="https://ntrs.nasa.gov/citations/19940020114" TargetMode="External"/><Relationship Id="rId52" Type="http://schemas.openxmlformats.org/officeDocument/2006/relationships/hyperlink" Target="https://cdscomposites.com/api/validation/exercises?exercise=case-structural-pressure" TargetMode="External"/><Relationship Id="rId53" Type="http://schemas.openxmlformats.org/officeDocument/2006/relationships/hyperlink" Target="https://cdscomposites.com/getting-started/examples" TargetMode="External"/><Relationship Id="rId54" Type="http://schemas.openxmlformats.org/officeDocument/2006/relationships/image" Target="media/image5.png"/><Relationship Id="rId55" Type="http://schemas.openxmlformats.org/officeDocument/2006/relationships/hyperlink" Target="https://cdscomposites.com/getting-started/examples/micromechanics#fiber-volume-sweep" TargetMode="External"/><Relationship Id="rId56" Type="http://schemas.openxmlformats.org/officeDocument/2006/relationships/image" Target="media/image6.png"/><Relationship Id="rId57" Type="http://schemas.openxmlformats.org/officeDocument/2006/relationships/hyperlink" Target="https://cdscomposites.com/getting-started/examples/laminates#laminate-family" TargetMode="External"/><Relationship Id="rId58" Type="http://schemas.openxmlformats.org/officeDocument/2006/relationships/image" Target="media/image7.png"/><Relationship Id="rId59" Type="http://schemas.openxmlformats.org/officeDocument/2006/relationships/hyperlink" Target="https://cdscomposites.com/getting-started/examples/analyses#failure-index" TargetMode="External"/><Relationship Id="rId60" Type="http://schemas.openxmlformats.org/officeDocument/2006/relationships/hyperlink" Target="https://cdscomposites.com/getting-started/examples/analyses" TargetMode="External"/><Relationship Id="rId61" Type="http://schemas.openxmlformats.org/officeDocument/2006/relationships/hyperlink" Target="https://doi.org/10.1177/002199838301700204" TargetMode="External"/><Relationship Id="rId62" Type="http://schemas.openxmlformats.org/officeDocument/2006/relationships/image" Target="media/image8.png"/><Relationship Id="rId63" Type="http://schemas.openxmlformats.org/officeDocument/2006/relationships/hyperlink" Target="https://doi.org/10.1177/002199837601000101" TargetMode="External"/><Relationship Id="rId64" Type="http://schemas.openxmlformats.org/officeDocument/2006/relationships/hyperlink" Target="https://doi.org/10.1177/002199837701100102" TargetMode="External"/><Relationship Id="rId65" Type="http://schemas.openxmlformats.org/officeDocument/2006/relationships/image" Target="media/image9.png"/><Relationship Id="rId66" Type="http://schemas.openxmlformats.org/officeDocument/2006/relationships/hyperlink" Target="https://doi.org/10.1177/002199837100500106" TargetMode="External"/><Relationship Id="rId67" Type="http://schemas.openxmlformats.org/officeDocument/2006/relationships/hyperlink" Target="https://doi.org/10.1177/1687814015589458" TargetMode="External"/><Relationship Id="rId68" Type="http://schemas.openxmlformats.org/officeDocument/2006/relationships/hyperlink" Target="https://ntrs.nasa.gov/citations/19950009349" TargetMode="External"/><Relationship Id="rId69" Type="http://schemas.openxmlformats.org/officeDocument/2006/relationships/image" Target="media/image10.png"/><Relationship Id="rId70" Type="http://schemas.openxmlformats.org/officeDocument/2006/relationships/image" Target="media/image11.png"/><Relationship Id="rId71" Type="http://schemas.openxmlformats.org/officeDocument/2006/relationships/hyperlink" Target="https://cdscomposites.com/help/structural" TargetMode="External"/><Relationship Id="rId72" Type="http://schemas.openxmlformats.org/officeDocument/2006/relationships/image" Target="media/image12.png"/><Relationship Id="rId73" Type="http://schemas.openxmlformats.org/officeDocument/2006/relationships/hyperlink" Target="https://doi.org/10.1177/073168448800700402" TargetMode="External"/><Relationship Id="rId74" Type="http://schemas.openxmlformats.org/officeDocument/2006/relationships/image" Target="media/image13.png"/><Relationship Id="rId75" Type="http://schemas.openxmlformats.org/officeDocument/2006/relationships/image" Target="media/image14.png"/><Relationship Id="rId76" Type="http://schemas.openxmlformats.org/officeDocument/2006/relationships/image" Target="media/image15.png"/><Relationship Id="rId77" Type="http://schemas.openxmlformats.org/officeDocument/2006/relationships/hyperlink" Target="https://cdscomposites.com/getting-started/examples/laminates" TargetMode="External"/><Relationship Id="rId78" Type="http://schemas.openxmlformats.org/officeDocument/2006/relationships/hyperlink" Target="https://ntrs.nasa.gov/citations/19770010221" TargetMode="External"/><Relationship Id="rId79" Type="http://schemas.openxmlformats.org/officeDocument/2006/relationships/hyperlink" Target="https://doi.org/10.2514/1.J060659" TargetMode="External"/><Relationship Id="rId80" Type="http://schemas.openxmlformats.org/officeDocument/2006/relationships/image" Target="media/image16.png"/><Relationship Id="rId81" Type="http://schemas.openxmlformats.org/officeDocument/2006/relationships/hyperlink" Target="https://ntrs.nasa.gov/citations/19840012580" TargetMode="External"/><Relationship Id="rId82" Type="http://schemas.openxmlformats.org/officeDocument/2006/relationships/image" Target="media/image17.png"/><Relationship Id="rId83" Type="http://schemas.openxmlformats.org/officeDocument/2006/relationships/hyperlink" Target="https://cdscomposites.com/help/laminates/hygrothermal-clt" TargetMode="External"/><Relationship Id="rId84" Type="http://schemas.openxmlformats.org/officeDocument/2006/relationships/image" Target="media/image18.png"/><Relationship Id="rId85" Type="http://schemas.openxmlformats.org/officeDocument/2006/relationships/image" Target="media/image19.png"/><Relationship Id="rId86" Type="http://schemas.openxmlformats.org/officeDocument/2006/relationships/image" Target="media/image20.png"/><Relationship Id="rId87" Type="http://schemas.openxmlformats.org/officeDocument/2006/relationships/hyperlink" Target="https://cdscomposites.com/help/laminates/progressive-update" TargetMode="External"/><Relationship Id="rId88" Type="http://schemas.openxmlformats.org/officeDocument/2006/relationships/image" Target="media/image21.png"/><Relationship Id="rId89" Type="http://schemas.openxmlformats.org/officeDocument/2006/relationships/hyperlink" Target="https://cdscomposites.com/help/laminates/effective-properties" TargetMode="External"/><Relationship Id="rId90" Type="http://schemas.openxmlformats.org/officeDocument/2006/relationships/image" Target="media/image22.png"/><Relationship Id="rId91" Type="http://schemas.openxmlformats.org/officeDocument/2006/relationships/hyperlink" Target="https://cdscomposites.com/getting-started/examples/micromechanics" TargetMode="External"/><Relationship Id="rId92" Type="http://schemas.openxmlformats.org/officeDocument/2006/relationships/image" Target="media/image23.png"/><Relationship Id="rId93" Type="http://schemas.openxmlformats.org/officeDocument/2006/relationships/image" Target="media/image24.png"/><Relationship Id="rId94" Type="http://schemas.openxmlformats.org/officeDocument/2006/relationships/hyperlink" Target="https://patents.google.com/patent/US11047078B2/en" TargetMode="External"/><Relationship Id="rId95" Type="http://schemas.openxmlformats.org/officeDocument/2006/relationships/hyperlink" Target="https://doi.org/10.33599/nasampe/s.19.1609" TargetMode="External"/><Relationship Id="rId96" Type="http://schemas.openxmlformats.org/officeDocument/2006/relationships/image" Target="media/image25.png"/><Relationship Id="rId97" Type="http://schemas.openxmlformats.org/officeDocument/2006/relationships/hyperlink" Target="https://doi.org/10.1088/0508-3443/3/3/302" TargetMode="External"/><Relationship Id="rId98" Type="http://schemas.openxmlformats.org/officeDocument/2006/relationships/hyperlink" Target="https://doi.org/10.1016/j.compositesa.2014.06.005" TargetMode="External"/><Relationship Id="rId99" Type="http://schemas.openxmlformats.org/officeDocument/2006/relationships/image" Target="media/image26.png"/><Relationship Id="rId100" Type="http://schemas.openxmlformats.org/officeDocument/2006/relationships/hyperlink" Target="https://cdscomposites.com/help/micromechanics/volume-i" TargetMode="External"/><Relationship Id="rId101" Type="http://schemas.openxmlformats.org/officeDocument/2006/relationships/image" Target="media/image27.png"/><Relationship Id="rId102" Type="http://schemas.openxmlformats.org/officeDocument/2006/relationships/hyperlink" Target="https://cdscomposites.com/help/micromechanics/volume-ii-section-3" TargetMode="External"/><Relationship Id="rId103" Type="http://schemas.openxmlformats.org/officeDocument/2006/relationships/image" Target="media/image28.png"/><Relationship Id="rId104" Type="http://schemas.openxmlformats.org/officeDocument/2006/relationships/hyperlink" Target="https://cdscomposites.com/help/micromechanics/volume-ii-section-2" TargetMode="External"/><Relationship Id="rId105" Type="http://schemas.openxmlformats.org/officeDocument/2006/relationships/image" Target="media/image29.png"/><Relationship Id="rId106" Type="http://schemas.openxmlformats.org/officeDocument/2006/relationships/image" Target="media/image30.png"/><Relationship Id="rId107" Type="http://schemas.openxmlformats.org/officeDocument/2006/relationships/hyperlink" Target="https://cdscomposites.com/help/micromechanics/volume-ii-section-6" TargetMode="External"/><Relationship Id="rId108" Type="http://schemas.openxmlformats.org/officeDocument/2006/relationships/image" Target="media/image31.png"/><Relationship Id="rId109" Type="http://schemas.openxmlformats.org/officeDocument/2006/relationships/hyperlink" Target="https://cdscomposites.com/getting-started/examples/starter-files" TargetMode="External"/><Relationship Id="rId110" Type="http://schemas.openxmlformats.org/officeDocument/2006/relationships/hyperlink" Target="https://cdscomposites.com/examples/cds-lamina-starter.csv" TargetMode="External"/><Relationship Id="rId111" Type="http://schemas.openxmlformats.org/officeDocument/2006/relationships/hyperlink" Target="https://cdscomposites.com/examples/cds-laminate-plate.csv" TargetMode="External"/><Relationship Id="rId112" Type="http://schemas.openxmlformats.org/officeDocument/2006/relationships/hyperlink" Target="https://cdscomposites.com/examples/cds-cylinder-load-case.csv" TargetMode="External"/><Relationship Id="rId113" Type="http://schemas.openxmlformats.org/officeDocument/2006/relationships/hyperlink" Target="https://cdscomposites.com/examples/example_plate_web_r18.m" TargetMode="External"/><Relationship Id="rId114" Type="http://schemas.openxmlformats.org/officeDocument/2006/relationships/hyperlink" Target="https://cdscomposites.com/examples/example_cylinder_web_r18.m" TargetMode="External"/><Relationship Id="rId115" Type="http://schemas.openxmlformats.org/officeDocument/2006/relationships/hyperlink" Target="https://cdscomposites.com/examples/example_beam_web_r18.m" TargetMode="External"/><Relationship Id="rId116" Type="http://schemas.openxmlformats.org/officeDocument/2006/relationships/hyperlink" Target="https://cdscomposites.com/exercise-workflows/01-rom.svg" TargetMode="External"/><Relationship Id="rId117" Type="http://schemas.openxmlformats.org/officeDocument/2006/relationships/image" Target="media/image32.png"/><Relationship Id="rId118" Type="http://schemas.openxmlformats.org/officeDocument/2006/relationships/hyperlink" Target="https://cds-engineering-workbench.mactierney322698.chatgpt.site/?exercise=01-rom" TargetMode="External"/><Relationship Id="rId119" Type="http://schemas.openxmlformats.org/officeDocument/2006/relationships/hyperlink" Target="https://ocw.mit.edu/courses/3-11-mechanics-of-materials-fall-1999/f193c908ec10d95c0bc67c904b65397a_MIT3_11F99_laminates.pdf" TargetMode="External"/><Relationship Id="rId120" Type="http://schemas.openxmlformats.org/officeDocument/2006/relationships/hyperlink" Target="https://ocw.mit.edu/courses/3-11-mechanics-of-materials-fall-1999/e87276d20858aa3dc64aae71b04d7486_MIT3_11F99_composites.pdf" TargetMode="External"/><Relationship Id="rId121" Type="http://schemas.openxmlformats.org/officeDocument/2006/relationships/hyperlink" Target="https://cdscomposites.com/api/validation/exercises?exercise=01-rom" TargetMode="External"/><Relationship Id="rId122" Type="http://schemas.openxmlformats.org/officeDocument/2006/relationships/hyperlink" Target="https://cds-engineering-workbench.mactierney322698.chatgpt.site/?exercise=02-halpin" TargetMode="External"/><Relationship Id="rId123" Type="http://schemas.openxmlformats.org/officeDocument/2006/relationships/image" Target="media/image33.png"/><Relationship Id="rId124" Type="http://schemas.openxmlformats.org/officeDocument/2006/relationships/hyperlink" Target="https://cdscomposites.com/api/validation/exercises?exercise=02-halpin" TargetMode="External"/><Relationship Id="rId125" Type="http://schemas.openxmlformats.org/officeDocument/2006/relationships/hyperlink" Target="https://cds-engineering-workbench.mactierney322698.chatgpt.site/?exercise=02-short-fiber" TargetMode="External"/><Relationship Id="rId126" Type="http://schemas.openxmlformats.org/officeDocument/2006/relationships/image" Target="media/image34.png"/><Relationship Id="rId127" Type="http://schemas.openxmlformats.org/officeDocument/2006/relationships/hyperlink" Target="https://cdscomposites.com/api/validation/exercises?exercise=02-short-fiber" TargetMode="External"/><Relationship Id="rId128" Type="http://schemas.openxmlformats.org/officeDocument/2006/relationships/hyperlink" Target="https://cds-composite-design.mactierney322698.chatgpt.site/getting-started/laminas-laminates#ply-table" TargetMode="External"/><Relationship Id="rId129" Type="http://schemas.openxmlformats.org/officeDocument/2006/relationships/hyperlink" Target="https://cds-engineering-workbench.mactierney322698.chatgpt.site/?exercise=simulation-01" TargetMode="External"/><Relationship Id="rId130" Type="http://schemas.openxmlformats.org/officeDocument/2006/relationships/image" Target="media/image35.png"/><Relationship Id="rId131" Type="http://schemas.openxmlformats.org/officeDocument/2006/relationships/hyperlink" Target="https://cdscomposites.com/api/validation/exercises?exercise=simulation-01" TargetMode="External"/><Relationship Id="rId132" Type="http://schemas.openxmlformats.org/officeDocument/2006/relationships/hyperlink" Target="https://cds-engineering-workbench.mactierney322698.chatgpt.site/?exercise=fsdt-01" TargetMode="External"/><Relationship Id="rId133" Type="http://schemas.openxmlformats.org/officeDocument/2006/relationships/image" Target="media/image36.png"/><Relationship Id="rId134" Type="http://schemas.openxmlformats.org/officeDocument/2006/relationships/hyperlink" Target="https://cdscomposites.com/api/validation/exercises?exercise=fsdt-01" TargetMode="External"/><Relationship Id="rId135" Type="http://schemas.openxmlformats.org/officeDocument/2006/relationships/hyperlink" Target="https://cdscomposites.com/help/structural/fsdt" TargetMode="External"/><Relationship Id="rId136" Type="http://schemas.openxmlformats.org/officeDocument/2006/relationships/hyperlink" Target="https://cds-composite-design.mactierney322698.chatgpt.site/help/structural/fsdt" TargetMode="External"/><Relationship Id="rId137" Type="http://schemas.openxmlformats.org/officeDocument/2006/relationships/hyperlink" Target="https://cds-composite-design.mactierney322698.chatgpt.site/getting-started/connected-workbench#virtual-tests" TargetMode="External"/><Relationship Id="rId138" Type="http://schemas.openxmlformats.org/officeDocument/2006/relationships/hyperlink" Target="https://cds-engineering-workbench.mactierney322698.chatgpt.site/?exercise=optimization-01" TargetMode="External"/><Relationship Id="rId139" Type="http://schemas.openxmlformats.org/officeDocument/2006/relationships/image" Target="media/image37.png"/><Relationship Id="rId140" Type="http://schemas.openxmlformats.org/officeDocument/2006/relationships/hyperlink" Target="https://cdscomposites.com/api/validation/exercises?exercise=optimization-01" TargetMode="External"/><Relationship Id="rId141" Type="http://schemas.openxmlformats.org/officeDocument/2006/relationships/hyperlink" Target="https://cds-composite-design.mactierney322698.chatgpt.site/getting-started/failure-optimization#optimization-cases" TargetMode="External"/><Relationship Id="rId142" Type="http://schemas.openxmlformats.org/officeDocument/2006/relationships/hyperlink" Target="https://cds-engineering-workbench.mactierney322698.chatgpt.site/?exercise=simulation-02" TargetMode="External"/><Relationship Id="rId143" Type="http://schemas.openxmlformats.org/officeDocument/2006/relationships/image" Target="media/image38.png"/><Relationship Id="rId144" Type="http://schemas.openxmlformats.org/officeDocument/2006/relationships/hyperlink" Target="https://cdscomposites.com/api/validation/exercises?exercise=simulation-02" TargetMode="External"/><Relationship Id="rId145" Type="http://schemas.openxmlformats.org/officeDocument/2006/relationships/hyperlink" Target="https://cds-engineering-workbench.mactierney322698.chatgpt.site/?exercise=fsdt-02" TargetMode="External"/><Relationship Id="rId146" Type="http://schemas.openxmlformats.org/officeDocument/2006/relationships/image" Target="media/image39.png"/><Relationship Id="rId147" Type="http://schemas.openxmlformats.org/officeDocument/2006/relationships/hyperlink" Target="https://cdscomposites.com/api/validation/exercises?exercise=fsdt-02" TargetMode="External"/><Relationship Id="rId148" Type="http://schemas.openxmlformats.org/officeDocument/2006/relationships/hyperlink" Target="https://cds-engineering-workbench.mactierney322698.chatgpt.site/?exercise=optimization-02" TargetMode="External"/><Relationship Id="rId149" Type="http://schemas.openxmlformats.org/officeDocument/2006/relationships/image" Target="media/image40.png"/><Relationship Id="rId150" Type="http://schemas.openxmlformats.org/officeDocument/2006/relationships/hyperlink" Target="https://cdscomposites.com/api/validation/exercises?exercise=optimization-02" TargetMode="External"/><Relationship Id="rId151" Type="http://schemas.openxmlformats.org/officeDocument/2006/relationships/hyperlink" Target="https://cds-engineering-workbench.mactierney322698.chatgpt.site/?exercise=simulation-03" TargetMode="External"/><Relationship Id="rId152" Type="http://schemas.openxmlformats.org/officeDocument/2006/relationships/image" Target="media/image41.png"/><Relationship Id="rId153" Type="http://schemas.openxmlformats.org/officeDocument/2006/relationships/hyperlink" Target="https://cdscomposites.com/api/validation/exercises?exercise=simulation-03" TargetMode="External"/><Relationship Id="rId154" Type="http://schemas.openxmlformats.org/officeDocument/2006/relationships/hyperlink" Target="https://cds-engineering-workbench.mactierney322698.chatgpt.site/?exercise=fsdt-03" TargetMode="External"/><Relationship Id="rId155" Type="http://schemas.openxmlformats.org/officeDocument/2006/relationships/image" Target="media/image42.png"/><Relationship Id="rId156" Type="http://schemas.openxmlformats.org/officeDocument/2006/relationships/hyperlink" Target="https://cdscomposites.com/api/validation/exercises?exercise=fsdt-03" TargetMode="External"/><Relationship Id="rId157" Type="http://schemas.openxmlformats.org/officeDocument/2006/relationships/hyperlink" Target="https://cds-engineering-workbench.mactierney322698.chatgpt.site/?exercise=optimization-03" TargetMode="External"/><Relationship Id="rId158" Type="http://schemas.openxmlformats.org/officeDocument/2006/relationships/image" Target="media/image43.png"/><Relationship Id="rId159" Type="http://schemas.openxmlformats.org/officeDocument/2006/relationships/hyperlink" Target="https://cdscomposites.com/api/validation/exercises?exercise=optimization-03" TargetMode="External"/><Relationship Id="rId160" Type="http://schemas.openxmlformats.org/officeDocument/2006/relationships/hyperlink" Target="https://cds-composite-design.mactierney322698.chatgpt.site/getting-started/process-simulations#cycle-table" TargetMode="External"/><Relationship Id="rId161" Type="http://schemas.openxmlformats.org/officeDocument/2006/relationships/hyperlink" Target="https://cds-composite-design.mactierney322698.chatgpt.site/getting-started/process-simulations#cure-coupling" TargetMode="External"/><Relationship Id="rId162" Type="http://schemas.openxmlformats.org/officeDocument/2006/relationships/hyperlink" Target="https://cds-engineering-workbench.mactierney322698.chatgpt.site/?exercise=simulation-04" TargetMode="External"/><Relationship Id="rId163" Type="http://schemas.openxmlformats.org/officeDocument/2006/relationships/image" Target="media/image44.png"/><Relationship Id="rId164" Type="http://schemas.openxmlformats.org/officeDocument/2006/relationships/hyperlink" Target="https://cdscomposites.com/api/validation/exercises?exercise=simulation-04" TargetMode="External"/><Relationship Id="rId165" Type="http://schemas.openxmlformats.org/officeDocument/2006/relationships/hyperlink" Target="https://cds-engineering-workbench.mactierney322698.chatgpt.site/?exercise=fsdt-04" TargetMode="External"/><Relationship Id="rId166" Type="http://schemas.openxmlformats.org/officeDocument/2006/relationships/image" Target="media/image45.png"/><Relationship Id="rId167" Type="http://schemas.openxmlformats.org/officeDocument/2006/relationships/hyperlink" Target="https://cdscomposites.com/api/validation/exercises?exercise=fsdt-04" TargetMode="External"/><Relationship Id="rId168" Type="http://schemas.openxmlformats.org/officeDocument/2006/relationships/hyperlink" Target="https://cds-engineering-workbench.mactierney322698.chatgpt.site/?exercise=converted-ply-ea5f46e7a9" TargetMode="External"/><Relationship Id="rId169" Type="http://schemas.openxmlformats.org/officeDocument/2006/relationships/image" Target="media/image46.png"/><Relationship Id="rId170" Type="http://schemas.openxmlformats.org/officeDocument/2006/relationships/hyperlink" Target="https://cdscomposites.com/api/validation/exercises?exercise=converted-ply-ea5f46e7a9" TargetMode="External"/><Relationship Id="rId171" Type="http://schemas.openxmlformats.org/officeDocument/2006/relationships/hyperlink" Target="https://cds-engineering-workbench.mactierney322698.chatgpt.site/?exercise=converted-ply-02fbff1700" TargetMode="External"/><Relationship Id="rId172" Type="http://schemas.openxmlformats.org/officeDocument/2006/relationships/image" Target="media/image47.png"/><Relationship Id="rId173" Type="http://schemas.openxmlformats.org/officeDocument/2006/relationships/hyperlink" Target="https://cdscomposites.com/api/validation/exercises?exercise=converted-ply-02fbff1700" TargetMode="External"/><Relationship Id="rId174" Type="http://schemas.openxmlformats.org/officeDocument/2006/relationships/hyperlink" Target="https://cds-engineering-workbench.mactierney322698.chatgpt.site/?exercise=converted-ply-57752928ab" TargetMode="External"/><Relationship Id="rId175" Type="http://schemas.openxmlformats.org/officeDocument/2006/relationships/image" Target="media/image48.png"/><Relationship Id="rId176" Type="http://schemas.openxmlformats.org/officeDocument/2006/relationships/hyperlink" Target="https://cdscomposites.com/api/validation/exercises?exercise=converted-ply-57752928ab" TargetMode="External"/><Relationship Id="rId177" Type="http://schemas.openxmlformats.org/officeDocument/2006/relationships/hyperlink" Target="https://cds-engineering-workbench.mactierney322698.chatgpt.site/?exercise=converted-ply-c5784299d8" TargetMode="External"/><Relationship Id="rId178" Type="http://schemas.openxmlformats.org/officeDocument/2006/relationships/image" Target="media/image49.png"/><Relationship Id="rId179" Type="http://schemas.openxmlformats.org/officeDocument/2006/relationships/hyperlink" Target="https://cdscomposites.com/api/validation/exercises?exercise=converted-ply-c5784299d8" TargetMode="External"/><Relationship Id="rId180" Type="http://schemas.openxmlformats.org/officeDocument/2006/relationships/hyperlink" Target="https://cds-engineering-workbench.mactierney322698.chatgpt.site/?exercise=converted-ply-01a9daf337" TargetMode="External"/><Relationship Id="rId181" Type="http://schemas.openxmlformats.org/officeDocument/2006/relationships/image" Target="media/image50.png"/><Relationship Id="rId182" Type="http://schemas.openxmlformats.org/officeDocument/2006/relationships/hyperlink" Target="https://cdscomposites.com/api/validation/exercises?exercise=converted-ply-01a9daf337" TargetMode="External"/><Relationship Id="rId183" Type="http://schemas.openxmlformats.org/officeDocument/2006/relationships/hyperlink" Target="https://cds-engineering-workbench.mactierney322698.chatgpt.site/?exercise=converted-ply-a55fce3095" TargetMode="External"/><Relationship Id="rId184" Type="http://schemas.openxmlformats.org/officeDocument/2006/relationships/image" Target="media/image51.png"/><Relationship Id="rId185" Type="http://schemas.openxmlformats.org/officeDocument/2006/relationships/hyperlink" Target="https://cdscomposites.com/api/validation/exercises?exercise=converted-ply-a55fce3095" TargetMode="External"/><Relationship Id="rId186" Type="http://schemas.openxmlformats.org/officeDocument/2006/relationships/hyperlink" Target="https://cds-engineering-workbench.mactierney322698.chatgpt.site/?exercise=converted-ply-a6a0eeb90a" TargetMode="External"/><Relationship Id="rId187" Type="http://schemas.openxmlformats.org/officeDocument/2006/relationships/image" Target="media/image52.png"/><Relationship Id="rId188" Type="http://schemas.openxmlformats.org/officeDocument/2006/relationships/hyperlink" Target="https://cdscomposites.com/api/validation/exercises?exercise=converted-ply-a6a0eeb90a" TargetMode="External"/><Relationship Id="rId189" Type="http://schemas.openxmlformats.org/officeDocument/2006/relationships/hyperlink" Target="https://cds-engineering-workbench.mactierney322698.chatgpt.site/?exercise=converted-ply-1b70537ea7" TargetMode="External"/><Relationship Id="rId190" Type="http://schemas.openxmlformats.org/officeDocument/2006/relationships/image" Target="media/image53.png"/><Relationship Id="rId191" Type="http://schemas.openxmlformats.org/officeDocument/2006/relationships/hyperlink" Target="https://cdscomposites.com/api/validation/exercises?exercise=converted-ply-1b70537ea7" TargetMode="External"/><Relationship Id="rId192" Type="http://schemas.openxmlformats.org/officeDocument/2006/relationships/hyperlink" Target="https://cds-engineering-workbench.mactierney322698.chatgpt.site/?exercise=03-layup" TargetMode="External"/><Relationship Id="rId193" Type="http://schemas.openxmlformats.org/officeDocument/2006/relationships/image" Target="media/image54.png"/><Relationship Id="rId194" Type="http://schemas.openxmlformats.org/officeDocument/2006/relationships/hyperlink" Target="https://cdscomposites.com/api/validation/exercises?exercise=03-layup" TargetMode="External"/><Relationship Id="rId195" Type="http://schemas.openxmlformats.org/officeDocument/2006/relationships/hyperlink" Target="https://cds-composite-design.mactierney322698.chatgpt.site/getting-started/laminas-laminates#relation-actions" TargetMode="External"/><Relationship Id="rId196" Type="http://schemas.openxmlformats.org/officeDocument/2006/relationships/hyperlink" Target="https://cds-composite-design.mactierney322698.chatgpt.site/getting-started/case-studies/laminate-design" TargetMode="External"/><Relationship Id="rId197" Type="http://schemas.openxmlformats.org/officeDocument/2006/relationships/hyperlink" Target="https://cds-engineering-workbench.mactierney322698.chatgpt.site/?exercise=04-shear" TargetMode="External"/><Relationship Id="rId198" Type="http://schemas.openxmlformats.org/officeDocument/2006/relationships/image" Target="media/image55.png"/><Relationship Id="rId199" Type="http://schemas.openxmlformats.org/officeDocument/2006/relationships/hyperlink" Target="https://cdscomposites.com/api/validation/exercises?exercise=04-shear" TargetMode="External"/><Relationship Id="rId200" Type="http://schemas.openxmlformats.org/officeDocument/2006/relationships/hyperlink" Target="https://cds-engineering-workbench.mactierney322698.chatgpt.site/?exercise=05-flexure" TargetMode="External"/><Relationship Id="rId201" Type="http://schemas.openxmlformats.org/officeDocument/2006/relationships/image" Target="media/image56.png"/><Relationship Id="rId202" Type="http://schemas.openxmlformats.org/officeDocument/2006/relationships/hyperlink" Target="https://cdscomposites.com/api/validation/exercises?exercise=05-flexure" TargetMode="External"/><Relationship Id="rId203" Type="http://schemas.openxmlformats.org/officeDocument/2006/relationships/hyperlink" Target="https://cdscomposites.com/help/structural/geometry" TargetMode="External"/><Relationship Id="rId204" Type="http://schemas.openxmlformats.org/officeDocument/2006/relationships/hyperlink" Target="https://cds-engineering-workbench.mactierney322698.chatgpt.site/?exercise=06-pressure" TargetMode="External"/><Relationship Id="rId205" Type="http://schemas.openxmlformats.org/officeDocument/2006/relationships/image" Target="media/image57.png"/><Relationship Id="rId206" Type="http://schemas.openxmlformats.org/officeDocument/2006/relationships/hyperlink" Target="https://cdscomposites.com/api/validation/exercises?exercise=06-pressure" TargetMode="External"/><Relationship Id="rId207" Type="http://schemas.openxmlformats.org/officeDocument/2006/relationships/hyperlink" Target="https://cds-composite-design.mactierney322698.chatgpt.site/getting-started/case-studies/structural-pressure" TargetMode="External"/><Relationship Id="rId208" Type="http://schemas.openxmlformats.org/officeDocument/2006/relationships/hyperlink" Target="https://cds-engineering-workbench.mactierney322698.chatgpt.site/?exercise=simulation-05" TargetMode="External"/><Relationship Id="rId209" Type="http://schemas.openxmlformats.org/officeDocument/2006/relationships/image" Target="media/image58.png"/><Relationship Id="rId210" Type="http://schemas.openxmlformats.org/officeDocument/2006/relationships/hyperlink" Target="https://cdscomposites.com/api/validation/exercises?exercise=simulation-05" TargetMode="External"/><Relationship Id="rId211" Type="http://schemas.openxmlformats.org/officeDocument/2006/relationships/hyperlink" Target="https://cds-engineering-workbench.mactierney322698.chatgpt.site/?exercise=fsdt-05" TargetMode="External"/><Relationship Id="rId212" Type="http://schemas.openxmlformats.org/officeDocument/2006/relationships/image" Target="media/image59.png"/><Relationship Id="rId213" Type="http://schemas.openxmlformats.org/officeDocument/2006/relationships/hyperlink" Target="https://cdscomposites.com/api/validation/exercises?exercise=fsdt-05" TargetMode="External"/><Relationship Id="rId214" Type="http://schemas.openxmlformats.org/officeDocument/2006/relationships/hyperlink" Target="https://cds-engineering-workbench.mactierney322698.chatgpt.site/?exercise=simulation-06" TargetMode="External"/><Relationship Id="rId215" Type="http://schemas.openxmlformats.org/officeDocument/2006/relationships/image" Target="media/image60.png"/><Relationship Id="rId216" Type="http://schemas.openxmlformats.org/officeDocument/2006/relationships/hyperlink" Target="https://cdscomposites.com/api/validation/exercises?exercise=simulation-06" TargetMode="External"/><Relationship Id="rId217" Type="http://schemas.openxmlformats.org/officeDocument/2006/relationships/hyperlink" Target="https://cds-engineering-workbench.mactierney322698.chatgpt.site/?exercise=fsdt-06" TargetMode="External"/><Relationship Id="rId218" Type="http://schemas.openxmlformats.org/officeDocument/2006/relationships/image" Target="media/image61.png"/><Relationship Id="rId219" Type="http://schemas.openxmlformats.org/officeDocument/2006/relationships/hyperlink" Target="https://cdscomposites.com/api/validation/exercises?exercise=fsdt-06" TargetMode="External"/><Relationship Id="rId220" Type="http://schemas.openxmlformats.org/officeDocument/2006/relationships/hyperlink" Target="https://cds-engineering-workbench.mactierney322698.chatgpt.site/?exercise=simulation-07" TargetMode="External"/><Relationship Id="rId221" Type="http://schemas.openxmlformats.org/officeDocument/2006/relationships/image" Target="media/image62.png"/><Relationship Id="rId222" Type="http://schemas.openxmlformats.org/officeDocument/2006/relationships/hyperlink" Target="https://cdscomposites.com/api/validation/exercises?exercise=simulation-07" TargetMode="External"/><Relationship Id="rId223" Type="http://schemas.openxmlformats.org/officeDocument/2006/relationships/hyperlink" Target="https://cds-composite-design.mactierney322698.chatgpt.site/getting-started/process-simulations#simulation-record" TargetMode="External"/><Relationship Id="rId224" Type="http://schemas.openxmlformats.org/officeDocument/2006/relationships/hyperlink" Target="https://cds-engineering-workbench.mactierney322698.chatgpt.site/?exercise=simulation-08" TargetMode="External"/><Relationship Id="rId225" Type="http://schemas.openxmlformats.org/officeDocument/2006/relationships/image" Target="media/image63.png"/><Relationship Id="rId226" Type="http://schemas.openxmlformats.org/officeDocument/2006/relationships/hyperlink" Target="https://cdscomposites.com/api/validation/exercises?exercise=simulation-08" TargetMode="External"/><Relationship Id="rId227" Type="http://schemas.openxmlformats.org/officeDocument/2006/relationships/hyperlink" Target="https://cds-engineering-workbench.mactierney322698.chatgpt.site/?exercise=simulation-09" TargetMode="External"/><Relationship Id="rId228" Type="http://schemas.openxmlformats.org/officeDocument/2006/relationships/image" Target="media/image64.png"/><Relationship Id="rId229" Type="http://schemas.openxmlformats.org/officeDocument/2006/relationships/hyperlink" Target="https://cdscomposites.com/api/validation/exercises?exercise=simulation-09" TargetMode="External"/><Relationship Id="rId230" Type="http://schemas.openxmlformats.org/officeDocument/2006/relationships/hyperlink" Target="https://cds-engineering-workbench.mactierney322698.chatgpt.site/?exercise=simulation-10" TargetMode="External"/><Relationship Id="rId231" Type="http://schemas.openxmlformats.org/officeDocument/2006/relationships/image" Target="media/image65.png"/><Relationship Id="rId232" Type="http://schemas.openxmlformats.org/officeDocument/2006/relationships/hyperlink" Target="https://cdscomposites.com/api/validation/exercises?exercise=simulation-10" TargetMode="External"/><Relationship Id="rId233" Type="http://schemas.openxmlformats.org/officeDocument/2006/relationships/hyperlink" Target="https://cds-engineering-workbench.mactierney322698.chatgpt.site/?exercise=simulation-11" TargetMode="External"/><Relationship Id="rId234" Type="http://schemas.openxmlformats.org/officeDocument/2006/relationships/image" Target="media/image66.png"/><Relationship Id="rId235" Type="http://schemas.openxmlformats.org/officeDocument/2006/relationships/hyperlink" Target="https://cdscomposites.com/api/validation/exercises?exercise=simulation-11" TargetMode="External"/><Relationship Id="rId236" Type="http://schemas.openxmlformats.org/officeDocument/2006/relationships/hyperlink" Target="https://cds-composite-design.mactierney322698.chatgpt.site/getting-started/connected-workbench#xz-section" TargetMode="External"/><Relationship Id="rId237" Type="http://schemas.openxmlformats.org/officeDocument/2006/relationships/hyperlink" Target="https://cds-engineering-workbench.mactierney322698.chatgpt.site/?exercise=simulation-12" TargetMode="External"/><Relationship Id="rId238" Type="http://schemas.openxmlformats.org/officeDocument/2006/relationships/image" Target="media/image67.png"/><Relationship Id="rId239" Type="http://schemas.openxmlformats.org/officeDocument/2006/relationships/hyperlink" Target="https://cdscomposites.com/api/validation/exercises?exercise=simulation-12" TargetMode="External"/><Relationship Id="rId240" Type="http://schemas.openxmlformats.org/officeDocument/2006/relationships/hyperlink" Target="https://cds-engineering-workbench.mactierney322698.chatgpt.site/?exercise=02-hybrid" TargetMode="External"/><Relationship Id="rId241" Type="http://schemas.openxmlformats.org/officeDocument/2006/relationships/image" Target="media/image68.png"/><Relationship Id="rId242" Type="http://schemas.openxmlformats.org/officeDocument/2006/relationships/hyperlink" Target="https://cdscomposites.com/api/validation/exercises?exercise=02-hybrid" TargetMode="External"/><Relationship Id="rId243" Type="http://schemas.openxmlformats.org/officeDocument/2006/relationships/hyperlink" Target="https://cds-engineering-workbench.mactierney322698.chatgpt.site/?exercise=converted-layup-0554244948" TargetMode="External"/><Relationship Id="rId244" Type="http://schemas.openxmlformats.org/officeDocument/2006/relationships/image" Target="media/image69.png"/><Relationship Id="rId245" Type="http://schemas.openxmlformats.org/officeDocument/2006/relationships/hyperlink" Target="https://cdscomposites.com/api/validation/exercises?exercise=converted-layup-0554244948" TargetMode="External"/><Relationship Id="rId246" Type="http://schemas.openxmlformats.org/officeDocument/2006/relationships/hyperlink" Target="https://cds-engineering-workbench.mactierney322698.chatgpt.site/?exercise=converted-layup-a52a5ff06d" TargetMode="External"/><Relationship Id="rId247" Type="http://schemas.openxmlformats.org/officeDocument/2006/relationships/image" Target="media/image70.png"/><Relationship Id="rId248" Type="http://schemas.openxmlformats.org/officeDocument/2006/relationships/hyperlink" Target="https://cdscomposites.com/api/validation/exercises?exercise=converted-layup-a52a5ff06d" TargetMode="External"/><Relationship Id="rId249" Type="http://schemas.openxmlformats.org/officeDocument/2006/relationships/hyperlink" Target="https://cds-engineering-workbench.mactierney322698.chatgpt.site/?exercise=converted-layup-f25493b32a" TargetMode="External"/><Relationship Id="rId250" Type="http://schemas.openxmlformats.org/officeDocument/2006/relationships/image" Target="media/image71.png"/><Relationship Id="rId251" Type="http://schemas.openxmlformats.org/officeDocument/2006/relationships/hyperlink" Target="https://cdscomposites.com/api/validation/exercises?exercise=converted-layup-f25493b32a" TargetMode="External"/><Relationship Id="rId252" Type="http://schemas.openxmlformats.org/officeDocument/2006/relationships/hyperlink" Target="https://cds-engineering-workbench.mactierney322698.chatgpt.site/?exercise=converted-layup-2ac9ccf9ec" TargetMode="External"/><Relationship Id="rId253" Type="http://schemas.openxmlformats.org/officeDocument/2006/relationships/image" Target="media/image72.png"/><Relationship Id="rId254" Type="http://schemas.openxmlformats.org/officeDocument/2006/relationships/hyperlink" Target="https://cdscomposites.com/api/validation/exercises?exercise=converted-layup-2ac9ccf9ec" TargetMode="External"/><Relationship Id="rId255" Type="http://schemas.openxmlformats.org/officeDocument/2006/relationships/hyperlink" Target="https://cds-engineering-workbench.mactierney322698.chatgpt.site/?exercise=converted-layup-e24774e9ca" TargetMode="External"/><Relationship Id="rId256" Type="http://schemas.openxmlformats.org/officeDocument/2006/relationships/image" Target="media/image73.png"/><Relationship Id="rId257" Type="http://schemas.openxmlformats.org/officeDocument/2006/relationships/hyperlink" Target="https://cdscomposites.com/api/validation/exercises?exercise=converted-layup-e24774e9ca" TargetMode="External"/><Relationship Id="rId258" Type="http://schemas.openxmlformats.org/officeDocument/2006/relationships/hyperlink" Target="https://cds-engineering-workbench.mactierney322698.chatgpt.site/?exercise=converted-layup-ba5183518c" TargetMode="External"/><Relationship Id="rId259" Type="http://schemas.openxmlformats.org/officeDocument/2006/relationships/image" Target="media/image74.png"/><Relationship Id="rId260" Type="http://schemas.openxmlformats.org/officeDocument/2006/relationships/hyperlink" Target="https://cdscomposites.com/api/validation/exercises?exercise=converted-layup-ba5183518c" TargetMode="External"/><Relationship Id="rId261" Type="http://schemas.openxmlformats.org/officeDocument/2006/relationships/hyperlink" Target="https://cds-engineering-workbench.mactierney322698.chatgpt.site/?exercise=converted-layup-4420318f9b" TargetMode="External"/><Relationship Id="rId262" Type="http://schemas.openxmlformats.org/officeDocument/2006/relationships/image" Target="media/image75.png"/><Relationship Id="rId263" Type="http://schemas.openxmlformats.org/officeDocument/2006/relationships/hyperlink" Target="https://cdscomposites.com/api/validation/exercises?exercise=converted-layup-4420318f9b" TargetMode="External"/><Relationship Id="rId264" Type="http://schemas.openxmlformats.org/officeDocument/2006/relationships/hyperlink" Target="https://cds-engineering-workbench.mactierney322698.chatgpt.site/?exercise=converted-layup-998750897d" TargetMode="External"/><Relationship Id="rId265" Type="http://schemas.openxmlformats.org/officeDocument/2006/relationships/image" Target="media/image76.png"/><Relationship Id="rId266" Type="http://schemas.openxmlformats.org/officeDocument/2006/relationships/hyperlink" Target="https://cdscomposites.com/api/validation/exercises?exercise=converted-layup-998750897d" TargetMode="External"/><Relationship Id="rId267" Type="http://schemas.openxmlformats.org/officeDocument/2006/relationships/hyperlink" Target="https://cds-engineering-workbench.mactierney322698.chatgpt.site/?exercise=converted-layup-810221d34d" TargetMode="External"/><Relationship Id="rId268" Type="http://schemas.openxmlformats.org/officeDocument/2006/relationships/image" Target="media/image77.png"/><Relationship Id="rId269" Type="http://schemas.openxmlformats.org/officeDocument/2006/relationships/hyperlink" Target="https://cdscomposites.com/api/validation/exercises?exercise=converted-layup-810221d34d" TargetMode="External"/><Relationship Id="rId270" Type="http://schemas.openxmlformats.org/officeDocument/2006/relationships/hyperlink" Target="https://cds-engineering-workbench.mactierney322698.chatgpt.site/?exercise=converted-layup-4ffd13f121" TargetMode="External"/><Relationship Id="rId271" Type="http://schemas.openxmlformats.org/officeDocument/2006/relationships/image" Target="media/image78.png"/><Relationship Id="rId272" Type="http://schemas.openxmlformats.org/officeDocument/2006/relationships/hyperlink" Target="https://cdscomposites.com/api/validation/exercises?exercise=converted-layup-4ffd13f121" TargetMode="External"/><Relationship Id="rId273" Type="http://schemas.openxmlformats.org/officeDocument/2006/relationships/hyperlink" Target="https://cds-engineering-workbench.mactierney322698.chatgpt.site/?exercise=converted-layup-c0ae1461f2" TargetMode="External"/><Relationship Id="rId274" Type="http://schemas.openxmlformats.org/officeDocument/2006/relationships/image" Target="media/image79.png"/><Relationship Id="rId275" Type="http://schemas.openxmlformats.org/officeDocument/2006/relationships/hyperlink" Target="https://cdscomposites.com/api/validation/exercises?exercise=converted-layup-c0ae1461f2" TargetMode="External"/><Relationship Id="rId276" Type="http://schemas.openxmlformats.org/officeDocument/2006/relationships/hyperlink" Target="https://cds-engineering-workbench.mactierney322698.chatgpt.site/?exercise=converted-layup-571d1017c9" TargetMode="External"/><Relationship Id="rId277" Type="http://schemas.openxmlformats.org/officeDocument/2006/relationships/image" Target="media/image80.png"/><Relationship Id="rId278" Type="http://schemas.openxmlformats.org/officeDocument/2006/relationships/hyperlink" Target="https://cdscomposites.com/api/validation/exercises?exercise=converted-layup-571d1017c9" TargetMode="External"/><Relationship Id="rId279" Type="http://schemas.openxmlformats.org/officeDocument/2006/relationships/hyperlink" Target="https://cds-engineering-workbench.mactierney322698.chatgpt.site/?exercise=converted-layup-df1b49e9e2" TargetMode="External"/><Relationship Id="rId280" Type="http://schemas.openxmlformats.org/officeDocument/2006/relationships/image" Target="media/image81.png"/><Relationship Id="rId281" Type="http://schemas.openxmlformats.org/officeDocument/2006/relationships/hyperlink" Target="https://cdscomposites.com/api/validation/exercises?exercise=converted-layup-df1b49e9e2" TargetMode="External"/><Relationship Id="rId282" Type="http://schemas.openxmlformats.org/officeDocument/2006/relationships/hyperlink" Target="https://cds-engineering-workbench.mactierney322698.chatgpt.site/?exercise=converted-layup-a3cc615593" TargetMode="External"/><Relationship Id="rId283" Type="http://schemas.openxmlformats.org/officeDocument/2006/relationships/image" Target="media/image82.png"/><Relationship Id="rId284" Type="http://schemas.openxmlformats.org/officeDocument/2006/relationships/hyperlink" Target="https://cdscomposites.com/api/validation/exercises?exercise=converted-layup-a3cc615593" TargetMode="External"/><Relationship Id="rId285" Type="http://schemas.openxmlformats.org/officeDocument/2006/relationships/hyperlink" Target="https://cds-engineering-workbench.mactierney322698.chatgpt.site/?exercise=converted-analysis-f528b12cc8" TargetMode="External"/><Relationship Id="rId286" Type="http://schemas.openxmlformats.org/officeDocument/2006/relationships/image" Target="media/image83.png"/><Relationship Id="rId287" Type="http://schemas.openxmlformats.org/officeDocument/2006/relationships/hyperlink" Target="https://cdscomposites.com/api/validation/exercises?exercise=converted-analysis-f528b12cc8" TargetMode="External"/><Relationship Id="rId288" Type="http://schemas.openxmlformats.org/officeDocument/2006/relationships/hyperlink" Target="https://cds-engineering-workbench.mactierney322698.chatgpt.site/?exercise=converted-analysis-a680929a91" TargetMode="External"/><Relationship Id="rId289" Type="http://schemas.openxmlformats.org/officeDocument/2006/relationships/image" Target="media/image84.png"/><Relationship Id="rId290" Type="http://schemas.openxmlformats.org/officeDocument/2006/relationships/hyperlink" Target="https://cdscomposites.com/api/validation/exercises?exercise=converted-analysis-a680929a91" TargetMode="External"/><Relationship Id="rId291" Type="http://schemas.openxmlformats.org/officeDocument/2006/relationships/hyperlink" Target="https://cds-engineering-workbench.mactierney322698.chatgpt.site/?exercise=converted-analysis-1c1f358336" TargetMode="External"/><Relationship Id="rId292" Type="http://schemas.openxmlformats.org/officeDocument/2006/relationships/image" Target="media/image85.png"/><Relationship Id="rId293" Type="http://schemas.openxmlformats.org/officeDocument/2006/relationships/hyperlink" Target="https://cdscomposites.com/api/validation/exercises?exercise=converted-analysis-1c1f358336" TargetMode="External"/><Relationship Id="rId294" Type="http://schemas.openxmlformats.org/officeDocument/2006/relationships/hyperlink" Target="https://cds-engineering-workbench.mactierney322698.chatgpt.site/?exercise=case-laminate-design" TargetMode="External"/><Relationship Id="rId295" Type="http://schemas.openxmlformats.org/officeDocument/2006/relationships/hyperlink" Target="https://cds-engineering-workbench.mactierney322698.chatgpt.site/?exercise=07-thermal" TargetMode="External"/><Relationship Id="rId296" Type="http://schemas.openxmlformats.org/officeDocument/2006/relationships/image" Target="media/image86.png"/><Relationship Id="rId297" Type="http://schemas.openxmlformats.org/officeDocument/2006/relationships/hyperlink" Target="https://cdscomposites.com/api/validation/exercises?exercise=07-thermal" TargetMode="External"/><Relationship Id="rId298" Type="http://schemas.openxmlformats.org/officeDocument/2006/relationships/hyperlink" Target="https://cds-composite-design.mactierney322698.chatgpt.site/getting-started/case-studies/process-cure" TargetMode="External"/><Relationship Id="rId299" Type="http://schemas.openxmlformats.org/officeDocument/2006/relationships/hyperlink" Target="https://cds-engineering-workbench.mactierney322698.chatgpt.site/?exercise=07-pultrusion-intro" TargetMode="External"/><Relationship Id="rId300" Type="http://schemas.openxmlformats.org/officeDocument/2006/relationships/image" Target="media/image87.png"/><Relationship Id="rId301" Type="http://schemas.openxmlformats.org/officeDocument/2006/relationships/hyperlink" Target="https://cdscomposites.com/api/validation/exercises?exercise=07-pultrusion-intro" TargetMode="External"/><Relationship Id="rId302" Type="http://schemas.openxmlformats.org/officeDocument/2006/relationships/hyperlink" Target="https://cds-engineering-workbench.mactierney322698.chatgpt.site/?exercise=07-pultrusion-zones" TargetMode="External"/><Relationship Id="rId303" Type="http://schemas.openxmlformats.org/officeDocument/2006/relationships/image" Target="media/image88.png"/><Relationship Id="rId304" Type="http://schemas.openxmlformats.org/officeDocument/2006/relationships/hyperlink" Target="https://cdscomposites.com/api/validation/exercises?exercise=07-pultrusion-zones" TargetMode="External"/><Relationship Id="rId305" Type="http://schemas.openxmlformats.org/officeDocument/2006/relationships/hyperlink" Target="https://cds-engineering-workbench.mactierney322698.chatgpt.site/?exercise=07-uv-cure" TargetMode="External"/><Relationship Id="rId306" Type="http://schemas.openxmlformats.org/officeDocument/2006/relationships/image" Target="media/image89.png"/><Relationship Id="rId307" Type="http://schemas.openxmlformats.org/officeDocument/2006/relationships/hyperlink" Target="https://cdscomposites.com/api/validation/exercises?exercise=07-uv-cure" TargetMode="External"/><Relationship Id="rId308" Type="http://schemas.openxmlformats.org/officeDocument/2006/relationships/hyperlink" Target="https://cds-engineering-workbench.mactierney322698.chatgpt.site/?exercise=08-moisture" TargetMode="External"/><Relationship Id="rId309" Type="http://schemas.openxmlformats.org/officeDocument/2006/relationships/image" Target="media/image90.png"/><Relationship Id="rId310" Type="http://schemas.openxmlformats.org/officeDocument/2006/relationships/hyperlink" Target="https://cdscomposites.com/api/validation/exercises?exercise=08-moisture" TargetMode="External"/><Relationship Id="rId311" Type="http://schemas.openxmlformats.org/officeDocument/2006/relationships/hyperlink" Target="https://cdscomposites.com/help/moisture" TargetMode="External"/><Relationship Id="rId312" Type="http://schemas.openxmlformats.org/officeDocument/2006/relationships/hyperlink" Target="https://cds-engineering-workbench.mactierney322698.chatgpt.site/?exercise=09-bond" TargetMode="External"/><Relationship Id="rId313" Type="http://schemas.openxmlformats.org/officeDocument/2006/relationships/image" Target="media/image91.png"/><Relationship Id="rId314" Type="http://schemas.openxmlformats.org/officeDocument/2006/relationships/hyperlink" Target="https://cdscomposites.com/api/validation/exercises?exercise=09-bond" TargetMode="External"/><Relationship Id="rId315" Type="http://schemas.openxmlformats.org/officeDocument/2006/relationships/hyperlink" Target="https://cds-engineering-workbench.mactierney322698.chatgpt.site/?exercise=case-structural-pressure" TargetMode="External"/><Relationship Id="rId316" Type="http://schemas.openxmlformats.org/officeDocument/2006/relationships/hyperlink" Target="https://cds-engineering-workbench.mactierney322698.chatgpt.site/?exercise=case-process-cure" TargetMode="External"/><Relationship Id="rId317" Type="http://schemas.openxmlformats.org/officeDocument/2006/relationships/hyperlink" Target="https://cds-engineering-workbench.mactierney322698.chatgpt.site/?exercise=10-coupled" TargetMode="External"/><Relationship Id="rId318" Type="http://schemas.openxmlformats.org/officeDocument/2006/relationships/image" Target="media/image92.png"/><Relationship Id="rId319" Type="http://schemas.openxmlformats.org/officeDocument/2006/relationships/hyperlink" Target="https://cdscomposites.com/api/validation/exercises?exercise=10-coupled" TargetMode="External"/><Relationship Id="rId320" Type="http://schemas.openxmlformats.org/officeDocument/2006/relationships/hyperlink" Target="https://cds-engineering-workbench.mactierney322698.chatgpt.site/?exercise=simulation-13" TargetMode="External"/><Relationship Id="rId321" Type="http://schemas.openxmlformats.org/officeDocument/2006/relationships/image" Target="media/image93.png"/><Relationship Id="rId322" Type="http://schemas.openxmlformats.org/officeDocument/2006/relationships/hyperlink" Target="https://cdscomposites.com/api/validation/exercises?exercise=simulation-13" TargetMode="External"/><Relationship Id="rId323" Type="http://schemas.openxmlformats.org/officeDocument/2006/relationships/hyperlink" Target="https://cds-engineering-workbench.mactierney322698.chatgpt.site/?exercise=simulation-14" TargetMode="External"/><Relationship Id="rId324" Type="http://schemas.openxmlformats.org/officeDocument/2006/relationships/image" Target="media/image94.png"/><Relationship Id="rId325" Type="http://schemas.openxmlformats.org/officeDocument/2006/relationships/hyperlink" Target="https://cdscomposites.com/api/validation/exercises?exercise=simulation-14" TargetMode="External"/><Relationship Id="rId326" Type="http://schemas.openxmlformats.org/officeDocument/2006/relationships/hyperlink" Target="https://cds-engineering-workbench.mactierney322698.chatgpt.site/?exercise=simulation-15" TargetMode="External"/><Relationship Id="rId327" Type="http://schemas.openxmlformats.org/officeDocument/2006/relationships/image" Target="media/image95.png"/><Relationship Id="rId328" Type="http://schemas.openxmlformats.org/officeDocument/2006/relationships/hyperlink" Target="https://cdscomposites.com/api/validation/exercises?exercise=simulation-15" TargetMode="External"/><Relationship Id="rId329" Type="http://schemas.openxmlformats.org/officeDocument/2006/relationships/hyperlink" Target="https://cds-engineering-workbench.mactierney322698.chatgpt.site/?exercise=simulation-16" TargetMode="External"/><Relationship Id="rId330" Type="http://schemas.openxmlformats.org/officeDocument/2006/relationships/image" Target="media/image96.png"/><Relationship Id="rId331" Type="http://schemas.openxmlformats.org/officeDocument/2006/relationships/hyperlink" Target="https://cdscomposites.com/api/validation/exercises?exercise=simulation-16" TargetMode="External"/><Relationship Id="rId332" Type="http://schemas.openxmlformats.org/officeDocument/2006/relationships/hyperlink" Target="https://cds-engineering-workbench.mactierney322698.chatgpt.site/?exercise=simulation-17" TargetMode="External"/><Relationship Id="rId333" Type="http://schemas.openxmlformats.org/officeDocument/2006/relationships/image" Target="media/image97.png"/><Relationship Id="rId334" Type="http://schemas.openxmlformats.org/officeDocument/2006/relationships/hyperlink" Target="https://cdscomposites.com/api/validation/exercises?exercise=simulation-17" TargetMode="External"/><Relationship Id="rId335" Type="http://schemas.openxmlformats.org/officeDocument/2006/relationships/hyperlink" Target="https://cds-engineering-workbench.mactierney322698.chatgpt.site/?exercise=simulation-18" TargetMode="External"/><Relationship Id="rId336" Type="http://schemas.openxmlformats.org/officeDocument/2006/relationships/image" Target="media/image98.png"/><Relationship Id="rId337" Type="http://schemas.openxmlformats.org/officeDocument/2006/relationships/hyperlink" Target="https://cdscomposites.com/api/validation/exercises?exercise=simulation-18" TargetMode="External"/><Relationship Id="rId338" Type="http://schemas.openxmlformats.org/officeDocument/2006/relationships/hyperlink" Target="https://cds-engineering-workbench.mactierney322698.chatgpt.site/?exercise=simulation-19" TargetMode="External"/><Relationship Id="rId339" Type="http://schemas.openxmlformats.org/officeDocument/2006/relationships/image" Target="media/image99.png"/><Relationship Id="rId340" Type="http://schemas.openxmlformats.org/officeDocument/2006/relationships/hyperlink" Target="https://cdscomposites.com/api/validation/exercises?exercise=simulation-19" TargetMode="External"/><Relationship Id="rId341" Type="http://schemas.openxmlformats.org/officeDocument/2006/relationships/hyperlink" Target="https://cds-engineering-workbench.mactierney322698.chatgpt.site/?exercise=simulation-20" TargetMode="External"/><Relationship Id="rId342" Type="http://schemas.openxmlformats.org/officeDocument/2006/relationships/image" Target="media/image100.png"/><Relationship Id="rId343" Type="http://schemas.openxmlformats.org/officeDocument/2006/relationships/hyperlink" Target="https://cdscomposites.com/api/validation/exercises?exercise=simulation-20" TargetMode="External"/><Relationship Id="rId344" Type="http://schemas.openxmlformats.org/officeDocument/2006/relationships/hyperlink" Target="https://cdscomposites.com/help/laminates/cohesive-delamination" TargetMode="External"/><Relationship Id="rId345" Type="http://schemas.openxmlformats.org/officeDocument/2006/relationships/hyperlink" Target="https://cds-engineering-workbench.mactierney322698.chatgpt.site/?exercise=advanced-astm_compression" TargetMode="External"/><Relationship Id="rId346" Type="http://schemas.openxmlformats.org/officeDocument/2006/relationships/image" Target="media/image101.png"/><Relationship Id="rId347" Type="http://schemas.openxmlformats.org/officeDocument/2006/relationships/hyperlink" Target="https://cdscomposites.com/api/validation/exercises?exercise=advanced-astm_compression" TargetMode="External"/><Relationship Id="rId348" Type="http://schemas.openxmlformats.org/officeDocument/2006/relationships/hyperlink" Target="https://cdscomposites.com/help/advanced-models#astm_compression" TargetMode="External"/><Relationship Id="rId349" Type="http://schemas.openxmlformats.org/officeDocument/2006/relationships/hyperlink" Target="https://cds-composite-design.mactierney322698.chatgpt.site/help/virtual-tests" TargetMode="External"/><Relationship Id="rId350" Type="http://schemas.openxmlformats.org/officeDocument/2006/relationships/hyperlink" Target="https://cds-engineering-workbench.mactierney322698.chatgpt.site/?exercise=advanced-astm_shear" TargetMode="External"/><Relationship Id="rId351" Type="http://schemas.openxmlformats.org/officeDocument/2006/relationships/image" Target="media/image102.png"/><Relationship Id="rId352" Type="http://schemas.openxmlformats.org/officeDocument/2006/relationships/hyperlink" Target="https://cdscomposites.com/api/validation/exercises?exercise=advanced-astm_shear" TargetMode="External"/><Relationship Id="rId353" Type="http://schemas.openxmlformats.org/officeDocument/2006/relationships/hyperlink" Target="https://cdscomposites.com/help/advanced-models#astm_shear" TargetMode="External"/><Relationship Id="rId354" Type="http://schemas.openxmlformats.org/officeDocument/2006/relationships/hyperlink" Target="https://cds-engineering-workbench.mactierney322698.chatgpt.site/?exercise=advanced-astm_dcb" TargetMode="External"/><Relationship Id="rId355" Type="http://schemas.openxmlformats.org/officeDocument/2006/relationships/image" Target="media/image103.png"/><Relationship Id="rId356" Type="http://schemas.openxmlformats.org/officeDocument/2006/relationships/hyperlink" Target="https://cdscomposites.com/api/validation/exercises?exercise=advanced-astm_dcb" TargetMode="External"/><Relationship Id="rId357" Type="http://schemas.openxmlformats.org/officeDocument/2006/relationships/hyperlink" Target="https://cdscomposites.com/help/advanced-models#astm_dcb" TargetMode="External"/><Relationship Id="rId358" Type="http://schemas.openxmlformats.org/officeDocument/2006/relationships/hyperlink" Target="https://cds-engineering-workbench.mactierney322698.chatgpt.site/?exercise=advanced-astm_enf" TargetMode="External"/><Relationship Id="rId359" Type="http://schemas.openxmlformats.org/officeDocument/2006/relationships/image" Target="media/image104.png"/><Relationship Id="rId360" Type="http://schemas.openxmlformats.org/officeDocument/2006/relationships/hyperlink" Target="https://cdscomposites.com/api/validation/exercises?exercise=advanced-astm_enf" TargetMode="External"/><Relationship Id="rId361" Type="http://schemas.openxmlformats.org/officeDocument/2006/relationships/hyperlink" Target="https://cdscomposites.com/help/advanced-models#astm_enf" TargetMode="External"/><Relationship Id="rId362" Type="http://schemas.openxmlformats.org/officeDocument/2006/relationships/hyperlink" Target="https://cds-engineering-workbench.mactierney322698.chatgpt.site/?exercise=advanced-astm_mmb" TargetMode="External"/><Relationship Id="rId363" Type="http://schemas.openxmlformats.org/officeDocument/2006/relationships/image" Target="media/image105.png"/><Relationship Id="rId364" Type="http://schemas.openxmlformats.org/officeDocument/2006/relationships/hyperlink" Target="https://cdscomposites.com/api/validation/exercises?exercise=advanced-astm_mmb" TargetMode="External"/><Relationship Id="rId365" Type="http://schemas.openxmlformats.org/officeDocument/2006/relationships/hyperlink" Target="https://cdscomposites.com/help/advanced-models#astm_mmb" TargetMode="External"/><Relationship Id="rId366" Type="http://schemas.openxmlformats.org/officeDocument/2006/relationships/hyperlink" Target="https://cds-engineering-workbench.mactierney322698.chatgpt.site/?exercise=advanced-astm_conditioning" TargetMode="External"/><Relationship Id="rId367" Type="http://schemas.openxmlformats.org/officeDocument/2006/relationships/image" Target="media/image106.png"/><Relationship Id="rId368" Type="http://schemas.openxmlformats.org/officeDocument/2006/relationships/hyperlink" Target="https://cdscomposites.com/api/validation/exercises?exercise=advanced-astm_conditioning" TargetMode="External"/><Relationship Id="rId369" Type="http://schemas.openxmlformats.org/officeDocument/2006/relationships/hyperlink" Target="https://cdscomposites.com/help/advanced-models#astm_conditioning" TargetMode="External"/><Relationship Id="rId370" Type="http://schemas.openxmlformats.org/officeDocument/2006/relationships/hyperlink" Target="https://cds-engineering-workbench.mactierney322698.chatgpt.site/?exercise=advanced-astm_bearing" TargetMode="External"/><Relationship Id="rId371" Type="http://schemas.openxmlformats.org/officeDocument/2006/relationships/image" Target="media/image107.png"/><Relationship Id="rId372" Type="http://schemas.openxmlformats.org/officeDocument/2006/relationships/hyperlink" Target="https://cdscomposites.com/api/validation/exercises?exercise=advanced-astm_bearing" TargetMode="External"/><Relationship Id="rId373" Type="http://schemas.openxmlformats.org/officeDocument/2006/relationships/hyperlink" Target="https://cdscomposites.com/help/advanced-models#astm_bearing" TargetMode="External"/><Relationship Id="rId374" Type="http://schemas.openxmlformats.org/officeDocument/2006/relationships/hyperlink" Target="https://cds-engineering-workbench.mactierney322698.chatgpt.site/?exercise=advanced-astm_ohc" TargetMode="External"/><Relationship Id="rId375" Type="http://schemas.openxmlformats.org/officeDocument/2006/relationships/image" Target="media/image108.png"/><Relationship Id="rId376" Type="http://schemas.openxmlformats.org/officeDocument/2006/relationships/hyperlink" Target="https://cdscomposites.com/api/validation/exercises?exercise=advanced-astm_ohc" TargetMode="External"/><Relationship Id="rId377" Type="http://schemas.openxmlformats.org/officeDocument/2006/relationships/hyperlink" Target="https://cdscomposites.com/help/advanced-models#astm_ohc" TargetMode="External"/><Relationship Id="rId378" Type="http://schemas.openxmlformats.org/officeDocument/2006/relationships/hyperlink" Target="https://cds-engineering-workbench.mactierney322698.chatgpt.site/?exercise=advanced-astm_filled" TargetMode="External"/><Relationship Id="rId379" Type="http://schemas.openxmlformats.org/officeDocument/2006/relationships/image" Target="media/image109.png"/><Relationship Id="rId380" Type="http://schemas.openxmlformats.org/officeDocument/2006/relationships/hyperlink" Target="https://cdscomposites.com/api/validation/exercises?exercise=advanced-astm_filled" TargetMode="External"/><Relationship Id="rId381" Type="http://schemas.openxmlformats.org/officeDocument/2006/relationships/hyperlink" Target="https://cdscomposites.com/help/advanced-models#astm_filled" TargetMode="External"/><Relationship Id="rId382" Type="http://schemas.openxmlformats.org/officeDocument/2006/relationships/hyperlink" Target="https://cds-engineering-workbench.mactierney322698.chatgpt.site/?exercise=advanced-astm_impact_cai" TargetMode="External"/><Relationship Id="rId383" Type="http://schemas.openxmlformats.org/officeDocument/2006/relationships/image" Target="media/image110.png"/><Relationship Id="rId384" Type="http://schemas.openxmlformats.org/officeDocument/2006/relationships/hyperlink" Target="https://cdscomposites.com/api/validation/exercises?exercise=advanced-astm_impact_cai" TargetMode="External"/><Relationship Id="rId385" Type="http://schemas.openxmlformats.org/officeDocument/2006/relationships/hyperlink" Target="https://cdscomposites.com/help/advanced-models#astm_impact_cai" TargetMode="External"/><Relationship Id="rId386" Type="http://schemas.openxmlformats.org/officeDocument/2006/relationships/hyperlink" Target="https://cds-engineering-workbench.mactierney322698.chatgpt.site/?exercise=advanced-em_wiener" TargetMode="External"/><Relationship Id="rId387" Type="http://schemas.openxmlformats.org/officeDocument/2006/relationships/image" Target="media/image111.png"/><Relationship Id="rId388" Type="http://schemas.openxmlformats.org/officeDocument/2006/relationships/hyperlink" Target="https://cdscomposites.com/api/validation/exercises?exercise=advanced-em_wiener" TargetMode="External"/><Relationship Id="rId389" Type="http://schemas.openxmlformats.org/officeDocument/2006/relationships/hyperlink" Target="https://cdscomposites.com/help/electromagnetics#em_wiener" TargetMode="External"/><Relationship Id="rId390" Type="http://schemas.openxmlformats.org/officeDocument/2006/relationships/hyperlink" Target="https://cds-composite-design.mactierney322698.chatgpt.site/help/advanced-models" TargetMode="External"/><Relationship Id="rId391" Type="http://schemas.openxmlformats.org/officeDocument/2006/relationships/hyperlink" Target="https://cds-engineering-workbench.mactierney322698.chatgpt.site/?exercise=advanced-em_looyenga" TargetMode="External"/><Relationship Id="rId392" Type="http://schemas.openxmlformats.org/officeDocument/2006/relationships/image" Target="media/image112.png"/><Relationship Id="rId393" Type="http://schemas.openxmlformats.org/officeDocument/2006/relationships/hyperlink" Target="https://cdscomposites.com/api/validation/exercises?exercise=advanced-em_looyenga" TargetMode="External"/><Relationship Id="rId394" Type="http://schemas.openxmlformats.org/officeDocument/2006/relationships/hyperlink" Target="https://cdscomposites.com/help/electromagnetics#em_looyenga" TargetMode="External"/><Relationship Id="rId395" Type="http://schemas.openxmlformats.org/officeDocument/2006/relationships/hyperlink" Target="https://cds-engineering-workbench.mactierney322698.chatgpt.site/?exercise=advanced-em_maxwell-garnett" TargetMode="External"/><Relationship Id="rId396" Type="http://schemas.openxmlformats.org/officeDocument/2006/relationships/image" Target="media/image113.png"/><Relationship Id="rId397" Type="http://schemas.openxmlformats.org/officeDocument/2006/relationships/hyperlink" Target="https://cdscomposites.com/api/validation/exercises?exercise=advanced-em_maxwell-garnett" TargetMode="External"/><Relationship Id="rId398" Type="http://schemas.openxmlformats.org/officeDocument/2006/relationships/hyperlink" Target="https://cdscomposites.com/help/electromagnetics#em_maxwell-garnett" TargetMode="External"/><Relationship Id="rId399" Type="http://schemas.openxmlformats.org/officeDocument/2006/relationships/hyperlink" Target="https://cds-engineering-workbench.mactierney322698.chatgpt.site/?exercise=advanced-em_tmm-normal" TargetMode="External"/><Relationship Id="rId400" Type="http://schemas.openxmlformats.org/officeDocument/2006/relationships/image" Target="media/image114.png"/><Relationship Id="rId401" Type="http://schemas.openxmlformats.org/officeDocument/2006/relationships/hyperlink" Target="https://cdscomposites.com/api/validation/exercises?exercise=advanced-em_tmm-normal" TargetMode="External"/><Relationship Id="rId402" Type="http://schemas.openxmlformats.org/officeDocument/2006/relationships/hyperlink" Target="https://cdscomposites.com/help/electromagnetics#em_tmm-normal" TargetMode="External"/><Relationship Id="rId403" Type="http://schemas.openxmlformats.org/officeDocument/2006/relationships/hyperlink" Target="https://cds-engineering-workbench.mactierney322698.chatgpt.site/?exercise=advanced-em_bruggeman" TargetMode="External"/><Relationship Id="rId404" Type="http://schemas.openxmlformats.org/officeDocument/2006/relationships/image" Target="media/image115.png"/><Relationship Id="rId405" Type="http://schemas.openxmlformats.org/officeDocument/2006/relationships/hyperlink" Target="https://cdscomposites.com/api/validation/exercises?exercise=advanced-em_bruggeman" TargetMode="External"/><Relationship Id="rId406" Type="http://schemas.openxmlformats.org/officeDocument/2006/relationships/hyperlink" Target="https://cdscomposites.com/help/electromagnetics#em_bruggeman" TargetMode="External"/><Relationship Id="rId407" Type="http://schemas.openxmlformats.org/officeDocument/2006/relationships/hyperlink" Target="https://cds-engineering-workbench.mactierney322698.chatgpt.site/?exercise=advanced-em_mori-tanaka" TargetMode="External"/><Relationship Id="rId408" Type="http://schemas.openxmlformats.org/officeDocument/2006/relationships/image" Target="media/image116.png"/><Relationship Id="rId409" Type="http://schemas.openxmlformats.org/officeDocument/2006/relationships/hyperlink" Target="https://cdscomposites.com/api/validation/exercises?exercise=advanced-em_mori-tanaka" TargetMode="External"/><Relationship Id="rId410" Type="http://schemas.openxmlformats.org/officeDocument/2006/relationships/hyperlink" Target="https://cdscomposites.com/help/electromagnetics#em_mori-tanaka" TargetMode="External"/><Relationship Id="rId411" Type="http://schemas.openxmlformats.org/officeDocument/2006/relationships/hyperlink" Target="https://cds-engineering-workbench.mactierney322698.chatgpt.site/?exercise=advanced-em_self-consistent" TargetMode="External"/><Relationship Id="rId412" Type="http://schemas.openxmlformats.org/officeDocument/2006/relationships/image" Target="media/image117.png"/><Relationship Id="rId413" Type="http://schemas.openxmlformats.org/officeDocument/2006/relationships/hyperlink" Target="https://cdscomposites.com/api/validation/exercises?exercise=advanced-em_self-consistent" TargetMode="External"/><Relationship Id="rId414" Type="http://schemas.openxmlformats.org/officeDocument/2006/relationships/hyperlink" Target="https://cdscomposites.com/help/electromagnetics#em_self-consistent" TargetMode="External"/><Relationship Id="rId415" Type="http://schemas.openxmlformats.org/officeDocument/2006/relationships/hyperlink" Target="https://cds-engineering-workbench.mactierney322698.chatgpt.site/?exercise=advanced-em_dem" TargetMode="External"/><Relationship Id="rId416" Type="http://schemas.openxmlformats.org/officeDocument/2006/relationships/image" Target="media/image118.png"/><Relationship Id="rId417" Type="http://schemas.openxmlformats.org/officeDocument/2006/relationships/hyperlink" Target="https://cdscomposites.com/api/validation/exercises?exercise=advanced-em_dem" TargetMode="External"/><Relationship Id="rId418" Type="http://schemas.openxmlformats.org/officeDocument/2006/relationships/hyperlink" Target="https://cdscomposites.com/help/electromagnetics#em_dem" TargetMode="External"/><Relationship Id="rId419" Type="http://schemas.openxmlformats.org/officeDocument/2006/relationships/hyperlink" Target="https://cds-engineering-workbench.mactierney322698.chatgpt.site/?exercise=advanced-em_coated" TargetMode="External"/><Relationship Id="rId420" Type="http://schemas.openxmlformats.org/officeDocument/2006/relationships/image" Target="media/image119.png"/><Relationship Id="rId421" Type="http://schemas.openxmlformats.org/officeDocument/2006/relationships/hyperlink" Target="https://cdscomposites.com/api/validation/exercises?exercise=advanced-em_coated" TargetMode="External"/><Relationship Id="rId422" Type="http://schemas.openxmlformats.org/officeDocument/2006/relationships/hyperlink" Target="https://cdscomposites.com/help/electromagnetics#em_coated" TargetMode="External"/><Relationship Id="rId423" Type="http://schemas.openxmlformats.org/officeDocument/2006/relationships/hyperlink" Target="https://cds-engineering-workbench.mactierney322698.chatgpt.site/?exercise=advanced-em_multiphase" TargetMode="External"/><Relationship Id="rId424" Type="http://schemas.openxmlformats.org/officeDocument/2006/relationships/image" Target="media/image120.png"/><Relationship Id="rId425" Type="http://schemas.openxmlformats.org/officeDocument/2006/relationships/hyperlink" Target="https://cdscomposites.com/api/validation/exercises?exercise=advanced-em_multiphase" TargetMode="External"/><Relationship Id="rId426" Type="http://schemas.openxmlformats.org/officeDocument/2006/relationships/hyperlink" Target="https://cdscomposites.com/help/electromagnetics#em_multiphase" TargetMode="External"/><Relationship Id="rId427" Type="http://schemas.openxmlformats.org/officeDocument/2006/relationships/hyperlink" Target="https://cds-engineering-workbench.mactierney322698.chatgpt.site/?exercise=advanced-em_tmm-oblique" TargetMode="External"/><Relationship Id="rId428" Type="http://schemas.openxmlformats.org/officeDocument/2006/relationships/image" Target="media/image121.png"/><Relationship Id="rId429" Type="http://schemas.openxmlformats.org/officeDocument/2006/relationships/hyperlink" Target="https://cdscomposites.com/api/validation/exercises?exercise=advanced-em_tmm-oblique" TargetMode="External"/><Relationship Id="rId430" Type="http://schemas.openxmlformats.org/officeDocument/2006/relationships/hyperlink" Target="https://cdscomposites.com/help/electromagnetics#em_tmm-oblique" TargetMode="External"/><Relationship Id="rId431" Type="http://schemas.openxmlformats.org/officeDocument/2006/relationships/hyperlink" Target="https://cds-engineering-workbench.mactierney322698.chatgpt.site/?exercise=advanced-em_tlm" TargetMode="External"/><Relationship Id="rId432" Type="http://schemas.openxmlformats.org/officeDocument/2006/relationships/image" Target="media/image122.png"/><Relationship Id="rId433" Type="http://schemas.openxmlformats.org/officeDocument/2006/relationships/hyperlink" Target="https://cdscomposites.com/api/validation/exercises?exercise=advanced-em_tlm" TargetMode="External"/><Relationship Id="rId434" Type="http://schemas.openxmlformats.org/officeDocument/2006/relationships/hyperlink" Target="https://cdscomposites.com/help/electromagnetics#em_tlm" TargetMode="External"/><Relationship Id="rId435" Type="http://schemas.openxmlformats.org/officeDocument/2006/relationships/hyperlink" Target="https://cds-engineering-workbench.mactierney322698.chatgpt.site/?exercise=advanced-em_bloch" TargetMode="External"/><Relationship Id="rId436" Type="http://schemas.openxmlformats.org/officeDocument/2006/relationships/image" Target="media/image123.png"/><Relationship Id="rId437" Type="http://schemas.openxmlformats.org/officeDocument/2006/relationships/hyperlink" Target="https://cdscomposites.com/api/validation/exercises?exercise=advanced-em_bloch" TargetMode="External"/><Relationship Id="rId438" Type="http://schemas.openxmlformats.org/officeDocument/2006/relationships/hyperlink" Target="https://cdscomposites.com/help/electromagnetics#em_bloch" TargetMode="External"/><Relationship Id="rId439" Type="http://schemas.openxmlformats.org/officeDocument/2006/relationships/hyperlink" Target="https://cds-engineering-workbench.mactierney322698.chatgpt.site/?exercise=advanced-notch" TargetMode="External"/><Relationship Id="rId440" Type="http://schemas.openxmlformats.org/officeDocument/2006/relationships/image" Target="media/image124.png"/><Relationship Id="rId441" Type="http://schemas.openxmlformats.org/officeDocument/2006/relationships/hyperlink" Target="https://cdscomposites.com/api/validation/exercises?exercise=advanced-notch" TargetMode="External"/><Relationship Id="rId442" Type="http://schemas.openxmlformats.org/officeDocument/2006/relationships/hyperlink" Target="https://cdscomposites.com/help/advanced-models#notch" TargetMode="External"/><Relationship Id="rId443" Type="http://schemas.openxmlformats.org/officeDocument/2006/relationships/hyperlink" Target="https://cds-engineering-workbench.mactierney322698.chatgpt.site/?exercise=advanced-viscoelastic" TargetMode="External"/><Relationship Id="rId444" Type="http://schemas.openxmlformats.org/officeDocument/2006/relationships/image" Target="media/image125.png"/><Relationship Id="rId445" Type="http://schemas.openxmlformats.org/officeDocument/2006/relationships/hyperlink" Target="https://cdscomposites.com/api/validation/exercises?exercise=advanced-viscoelastic" TargetMode="External"/><Relationship Id="rId446" Type="http://schemas.openxmlformats.org/officeDocument/2006/relationships/hyperlink" Target="https://cdscomposites.com/help/advanced-models#viscoelastic" TargetMode="External"/><Relationship Id="rId447" Type="http://schemas.openxmlformats.org/officeDocument/2006/relationships/hyperlink" Target="https://cds-engineering-workbench.mactierney322698.chatgpt.site/?exercise=advanced-bonded_joint" TargetMode="External"/><Relationship Id="rId448" Type="http://schemas.openxmlformats.org/officeDocument/2006/relationships/image" Target="media/image126.png"/><Relationship Id="rId449" Type="http://schemas.openxmlformats.org/officeDocument/2006/relationships/hyperlink" Target="https://cdscomposites.com/api/validation/exercises?exercise=advanced-bonded_joint" TargetMode="External"/><Relationship Id="rId450" Type="http://schemas.openxmlformats.org/officeDocument/2006/relationships/hyperlink" Target="https://cdscomposites.com/help/advanced-models#bonded_joint" TargetMode="External"/><Relationship Id="rId451" Type="http://schemas.openxmlformats.org/officeDocument/2006/relationships/hyperlink" Target="https://cds-engineering-workbench.mactierney322698.chatgpt.site/?exercise=advanced-larc04" TargetMode="External"/><Relationship Id="rId452" Type="http://schemas.openxmlformats.org/officeDocument/2006/relationships/image" Target="media/image127.png"/><Relationship Id="rId453" Type="http://schemas.openxmlformats.org/officeDocument/2006/relationships/hyperlink" Target="https://cdscomposites.com/api/validation/exercises?exercise=advanced-larc04" TargetMode="External"/><Relationship Id="rId454" Type="http://schemas.openxmlformats.org/officeDocument/2006/relationships/hyperlink" Target="https://cdscomposites.com/help/advanced-models#larc04" TargetMode="External"/><Relationship Id="rId455" Type="http://schemas.openxmlformats.org/officeDocument/2006/relationships/hyperlink" Target="https://cds-engineering-workbench.mactierney322698.chatgpt.site/?exercise=advanced-cure_shape" TargetMode="External"/><Relationship Id="rId456" Type="http://schemas.openxmlformats.org/officeDocument/2006/relationships/image" Target="media/image128.png"/><Relationship Id="rId457" Type="http://schemas.openxmlformats.org/officeDocument/2006/relationships/hyperlink" Target="https://cdscomposites.com/api/validation/exercises?exercise=advanced-cure_shape" TargetMode="External"/><Relationship Id="rId458" Type="http://schemas.openxmlformats.org/officeDocument/2006/relationships/hyperlink" Target="https://cdscomposites.com/help/advanced-models#cure_shape" TargetMode="External"/><Relationship Id="rId459" Type="http://schemas.openxmlformats.org/officeDocument/2006/relationships/hyperlink" Target="https://cds-engineering-workbench.mactierney322698.chatgpt.site/?exercise=advanced-fatigue_residual" TargetMode="External"/><Relationship Id="rId460" Type="http://schemas.openxmlformats.org/officeDocument/2006/relationships/image" Target="media/image129.png"/><Relationship Id="rId461" Type="http://schemas.openxmlformats.org/officeDocument/2006/relationships/hyperlink" Target="https://cdscomposites.com/api/validation/exercises?exercise=advanced-fatigue_residual" TargetMode="External"/><Relationship Id="rId462" Type="http://schemas.openxmlformats.org/officeDocument/2006/relationships/hyperlink" Target="https://cdscomposites.com/help/advanced-models#fatigue_residual" TargetMode="External"/><Relationship Id="rId463" Type="http://schemas.openxmlformats.org/officeDocument/2006/relationships/hyperlink" Target="https://cds-engineering-workbench.mactierney322698.chatgpt.site/?exercise=advanced-shell_buckling" TargetMode="External"/><Relationship Id="rId464" Type="http://schemas.openxmlformats.org/officeDocument/2006/relationships/image" Target="media/image130.png"/><Relationship Id="rId465" Type="http://schemas.openxmlformats.org/officeDocument/2006/relationships/hyperlink" Target="https://cdscomposites.com/api/validation/exercises?exercise=advanced-shell_buckling" TargetMode="External"/><Relationship Id="rId466" Type="http://schemas.openxmlformats.org/officeDocument/2006/relationships/hyperlink" Target="https://cdscomposites.com/help/advanced-models#shell_buckling" TargetMode="External"/><Relationship Id="rId467" Type="http://schemas.openxmlformats.org/officeDocument/2006/relationships/hyperlink" Target="https://cds-engineering-workbench.mactierney322698.chatgpt.site/?exercise=advanced-uncertainty" TargetMode="External"/><Relationship Id="rId468" Type="http://schemas.openxmlformats.org/officeDocument/2006/relationships/image" Target="media/image131.png"/><Relationship Id="rId469" Type="http://schemas.openxmlformats.org/officeDocument/2006/relationships/hyperlink" Target="https://cdscomposites.com/api/validation/exercises?exercise=advanced-uncertainty" TargetMode="External"/><Relationship Id="rId470" Type="http://schemas.openxmlformats.org/officeDocument/2006/relationships/hyperlink" Target="https://cdscomposites.com/help/advanced-models#uncertai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&amp; Exercise Manual</dc:title>
  <dc:subject/>
  <dc:creator>CDS Composites</dc:creator>
  <cp:keywords/>
  <dc:description>generated by python-docx</dc:description>
  <cp:lastModifiedBy/>
  <cp:revision>1</cp:revision>
  <dcterms:created xsi:type="dcterms:W3CDTF">2013-12-23T23:15:00Z</dcterms:created>
  <dcterms:modified xsi:type="dcterms:W3CDTF">2013-12-23T23:15:00Z</dcterms:modified>
  <cp:category/>
</cp:coreProperties>
</file>