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CDS Complete User Guide</w:t>
      </w:r>
    </w:p>
    <w:p>
      <w:r>
        <w:t>Release edition 18 September 2026</w:t>
      </w:r>
    </w:p>
    <w:p>
      <w:r>
        <w:t>This guide follows the work of preparing, running and reviewing a connected CDS study. Use CREATE to prepare a starting recipe, DISCOVER to explore its behaviour and SIMULATE to inspect the linked records and solver outputs. The chapters explain how to keep material choices, model selections, loads and results consistent as the study changes.</w:t>
      </w:r>
    </w:p>
    <w:p>
      <w:pPr>
        <w:pStyle w:val="Heading2"/>
      </w:pPr>
      <w:r>
        <w:t>How to use this manual</w:t>
      </w:r>
    </w:p>
    <w:p>
      <w:r>
        <w:t>Read the assumptions before choosing a model. Keep units consistent, inspect solver notices and use the recorded checks to distinguish a completed calculation from a validated result. Chapter links lead to the interactive website; exercise links open the Workbench. Account-controlled database downloads and classroom materials remain subject to their existing access rules.</w:t>
      </w:r>
    </w:p>
    <w:p>
      <w:r>
        <w:t>Equations are editable Word mathematics. This PDF is exported from the same Word document. Historical reference chapters retain their stated scope; the current workflow and exercise chapters describe the available CDS implementation.</w:t>
      </w:r>
    </w:p>
    <w:p>
      <w:r>
        <w:br w:type="page"/>
      </w:r>
    </w:p>
    <w:p>
      <w:pPr>
        <w:pStyle w:val="Heading1"/>
      </w:pPr>
      <w:r>
        <w:t>Contents</w:t>
      </w:r>
    </w:p>
    <w:p>
      <w:hyperlink w:anchor="chapter_1">
        <w:r>
          <w:t>1  CDS User Guide from model setup to results.</w:t>
        </w:r>
      </w:hyperlink>
    </w:p>
    <w:p>
      <w:hyperlink w:anchor="chapter_2">
        <w:r>
          <w:t>2  Keep the model connected and the result traceable.</w:t>
        </w:r>
      </w:hyperlink>
    </w:p>
    <w:p>
      <w:hyperlink w:anchor="chapter_3">
        <w:r>
          <w:t>3  Explore capacity and trade-offs without losing the assumptions.</w:t>
        </w:r>
      </w:hyperlink>
    </w:p>
    <w:p>
      <w:hyperlink w:anchor="chapter_4">
        <w:r>
          <w:t>4  Use the interface deliberately and efficiently.</w:t>
        </w:r>
      </w:hyperlink>
    </w:p>
    <w:p>
      <w:hyperlink w:anchor="chapter_5">
        <w:r>
          <w:t>5  Build laminas and laminate families.</w:t>
        </w:r>
      </w:hyperlink>
    </w:p>
    <w:p>
      <w:hyperlink w:anchor="chapter_6">
        <w:r>
          <w:t>6  Create and manage material records.</w:t>
        </w:r>
      </w:hyperlink>
    </w:p>
    <w:p>
      <w:hyperlink w:anchor="chapter_7">
        <w:r>
          <w:t>7  Prepare, visualize, optimize, and run analysis cases.</w:t>
        </w:r>
      </w:hyperlink>
    </w:p>
    <w:p>
      <w:hyperlink w:anchor="chapter_8">
        <w:r>
          <w:t>8  Get started with the CDS Workbench.</w:t>
        </w:r>
      </w:hyperlink>
    </w:p>
    <w:p>
      <w:hyperlink w:anchor="chapter_9">
        <w:r>
          <w:t>9  Exercise validation study evidence, not blanket passes.</w:t>
        </w:r>
      </w:hyperlink>
    </w:p>
    <w:p>
      <w:hyperlink w:anchor="chapter_10">
        <w:r>
          <w:t>10  Navigate the Workbench workspace.</w:t>
        </w:r>
      </w:hyperlink>
    </w:p>
    <w:p>
      <w:bookmarkStart w:id="1" w:name="chapter_1"/>
      <w:pPr>
        <w:pStyle w:val="Heading1"/>
        <w:pageBreakBefore/>
      </w:pPr>
      <w:r>
        <w:t>1 CDS User Guide from model setup to results</w:t>
      </w:r>
      <w:bookmarkEnd w:id="1"/>
    </w:p>
    <w:p>
      <w:pPr>
        <w:pStyle w:val="Caption"/>
      </w:pPr>
      <w:hyperlink r:id="rId10">
        <w:r>
          <w:rPr>
            <w:color w:val="176EA4"/>
          </w:rPr>
          <w:t>Online chapter</w:t>
        </w:r>
      </w:hyperlink>
      <w:r>
        <w:t xml:space="preserve"> </w:t>
      </w:r>
    </w:p>
    <w:p>
      <w:pPr/>
      <w:r>
        <w:rPr>
          <w:b w:val="0"/>
          <w:i w:val="0"/>
        </w:rPr>
        <w:t>Use the current Workbench to navigate records, define engineering models, run analysis cases, compare results, and create material records from predicted effective properties.</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bookmarkStart w:id="2" w:name="chapter_2"/>
      <w:pPr>
        <w:pStyle w:val="Heading1"/>
        <w:pageBreakBefore/>
      </w:pPr>
      <w:r>
        <w:t>2 Keep the model connected and the result traceable</w:t>
      </w:r>
      <w:bookmarkEnd w:id="2"/>
    </w:p>
    <w:p>
      <w:pPr>
        <w:pStyle w:val="Caption"/>
      </w:pPr>
      <w:hyperlink r:id="rId13">
        <w:r>
          <w:rPr>
            <w:color w:val="176EA4"/>
          </w:rPr>
          <w:t>Online chapter</w:t>
        </w:r>
      </w:hyperlink>
      <w:r>
        <w:t xml:space="preserve"> </w:t>
      </w:r>
    </w:p>
    <w:p>
      <w:pPr/>
      <w:r>
        <w:rPr>
          <w:b w:val="0"/>
          <w:i w:val="0"/>
        </w:rPr>
        <w:t>An operating guide to record connections, live sync, result freshness, source-aware materials, grouped tree operations, process histories and portable studies.</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hyperlink r:id="rId14">
        <w:r>
          <w:rPr>
            <w:color w:val="176EA4"/>
          </w:rPr>
          <w:t>Next: failure, envelopes, carpet plots and optimization →</w:t>
        </w:r>
      </w:hyperlink>
      <w:r>
        <w:t xml:space="preserve"> </w:t>
      </w:r>
    </w:p>
    <w:p>
      <w:r>
        <w:t>Trace the selected input path</w:t>
      </w:r>
    </w:p>
    <w:p>
      <w:r>
        <w:t>Ply property source</w:t>
      </w:r>
    </w:p>
    <w:p>
      <w:r>
        <w:t>Include thermal analysis</w:t>
      </w:r>
    </w:p>
    <w:p>
      <w:r>
        <w:t>Include moisture analysis</w:t>
      </w:r>
    </w:p>
    <w:p>
      <w:r>
        <w:t>Include optional fatigue assessment</w:t>
      </w:r>
    </w:p>
    <w:p>
      <w:pPr/>
      <w:r>
        <w:rPr>
          <w:b w:val="0"/>
          <w:i w:val="0"/>
        </w:rPr>
        <w:t>Stored ply properties bypass Micro. Mixed stacks keep both paths. Gray blocks are not selected. Geometry, process schedules and other model records are omitted here for clarity; a real run must include all required references.</w:t>
      </w:r>
    </w:p>
    <w:p>
      <w:pPr/>
      <w:r>
        <w:rPr>
          <w:b w:val="0"/>
          <w:i w:val="0"/>
        </w:rPr>
        <w:t>Fatigue uses intact CLT endpoint stresses and measured S–N calibration. It is evaluated separately from Run and progressive failure. The dashed handoff is not active: optimization still uses current properties until a degradation law is supplied.</w:t>
      </w:r>
    </w:p>
    <w:p>
      <w:pPr>
        <w:keepNext w:val="0"/>
        <w:jc w:val="center"/>
      </w:pPr>
      <w:r>
        <w:drawing>
          <wp:inline xmlns:a="http://schemas.openxmlformats.org/drawingml/2006/main" xmlns:pic="http://schemas.openxmlformats.org/drawingml/2006/picture">
            <wp:extent cx="6217920" cy="1935767"/>
            <wp:docPr id="1" name="Picture 1" descr="CDS workflow or model illustration"/>
            <wp:cNvGraphicFramePr>
              <a:graphicFrameLocks noChangeAspect="1"/>
            </wp:cNvGraphicFramePr>
            <a:graphic>
              <a:graphicData uri="http://schemas.openxmlformats.org/drawingml/2006/picture">
                <pic:pic>
                  <pic:nvPicPr>
                    <pic:cNvPr id="0" name="rsvg-615023cf647a6b49632caca708c0ff60ff2cc31c35130238cbb49066f80dac56.png"/>
                    <pic:cNvPicPr/>
                  </pic:nvPicPr>
                  <pic:blipFill>
                    <a:blip r:embed="rId15"/>
                    <a:stretch>
                      <a:fillRect/>
                    </a:stretch>
                  </pic:blipFill>
                  <pic:spPr>
                    <a:xfrm>
                      <a:off x="0" y="0"/>
                      <a:ext cx="6217920" cy="1935767"/>
                    </a:xfrm>
                    <a:prstGeom prst="rect"/>
                  </pic:spPr>
                </pic:pic>
              </a:graphicData>
            </a:graphic>
          </wp:inline>
        </w:drawing>
      </w:r>
    </w:p>
    <w:p>
      <w:pPr/>
      <w:r>
        <w:rPr>
          <w:b w:val="0"/>
          <w:i w:val="0"/>
        </w:rPr>
        <w:t>Materials → Micro → Laminate.</w:t>
      </w:r>
    </w:p>
    <w:p>
      <w:pPr/>
      <w:hyperlink r:id="rId16">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Inspect the selected model in Live Sim</w:t>
      </w:r>
    </w:p>
    <w:p>
      <w:pPr/>
      <w:r>
        <w:rPr>
          <w:b w:val="0"/>
          <w:i w:val="0"/>
        </w:rPr>
        <w:t>SIMULATE opens with Live Sim, an input-driven view of the selected cases. The four selectors remain available above the scene. Switch to Blocks to manage candidate records and trace their connections.</w:t>
      </w:r>
    </w:p>
    <w:p>
      <w:pPr>
        <w:pStyle w:val="ListBullet"/>
      </w:pPr>
      <w:r>
        <w:rPr>
          <w:b w:val="0"/>
          <w:i w:val="0"/>
        </w:rPr>
        <w:t>Select Geometry, Laminate, a constituent or a case to inspect the inputs that are actually used. Clicking a used block heading also opens its Live Sim inspection.</w:t>
      </w:r>
    </w:p>
    <w:p>
      <w:pPr>
        <w:pStyle w:val="ListBullet"/>
      </w:pPr>
      <w:r>
        <w:rPr>
          <w:b w:val="0"/>
          <w:i w:val="0"/>
        </w:rPr>
        <w:t>Select a ply in the stack or geometry view to inspect its source. Micro-derived and stored-property plies are identified separately. Woven sources show the fabric unit-cell preview when applicable.</w:t>
      </w:r>
    </w:p>
    <w:p>
      <w:pPr>
        <w:pStyle w:val="ListBullet"/>
      </w:pPr>
      <w:r>
        <w:rPr>
          <w:b w:val="0"/>
          <w:i w:val="0"/>
        </w:rPr>
        <w:t>Select the Thermal or Moisture case to inspect its surface boundary schedule. Move the step slider to compare prescribed conditions. This is not a solved internal temperature or moisture field.</w:t>
      </w:r>
    </w:p>
    <w:p>
      <w:pPr>
        <w:pStyle w:val="ListBullet"/>
      </w:pPr>
      <w:r>
        <w:rPr>
          <w:b w:val="0"/>
          <w:i w:val="0"/>
        </w:rPr>
        <w:t>Use Edit input to open the source record. The scene follows the changed inputs; rerun the simulation before trusting previous results.</w:t>
      </w:r>
    </w:p>
    <w:p>
      <w:pPr>
        <w:keepNext/>
      </w:pPr>
      <w:r>
        <w:t>Good practice</w:t>
      </w:r>
    </w:p>
    <w:p>
      <w:pPr/>
      <w:r>
        <w:rPr>
          <w:b w:val="0"/>
          <w:i w:val="0"/>
        </w:rPr>
        <w:t>Geometry, ply bands and arrows are input illustrations, not a finite-element mesh or solved deformation. Display-only thickness enlargement and any model-specific visualization assumptions are identified in the preview.</w:t>
      </w:r>
    </w:p>
    <w:p>
      <w:pPr>
        <w:pStyle w:val="Heading2"/>
      </w:pPr>
      <w:r>
        <w:t>Use the current CASES database format</w:t>
      </w:r>
    </w:p>
    <w:p>
      <w:pPr/>
      <w:r>
        <w:rPr>
          <w:b w:val="0"/>
          <w:i w:val="0"/>
        </w:rPr>
        <w:t>This release reads and saves the current CASES database format only. Thermal and Moisture schedules are stored directly with their cases. There is no separate Process record or old-format migration on opening a file.</w:t>
      </w:r>
    </w:p>
    <w:p>
      <w:pPr>
        <w:pStyle w:val="ListBullet"/>
      </w:pPr>
      <w:r>
        <w:rPr>
          <w:b w:val="0"/>
          <w:i w:val="0"/>
        </w:rPr>
        <w:t>Download a current starter or exercise database from the library. Older-format files are rejected with a clear message rather than converted silently.</w:t>
      </w:r>
    </w:p>
    <w:p>
      <w:pPr>
        <w:pStyle w:val="ListBullet"/>
      </w:pPr>
      <w:r>
        <w:rPr>
          <w:b w:val="0"/>
          <w:i w:val="0"/>
        </w:rPr>
        <w:t>Save and reopen the current database to retain case selections, schedules, candidate records and editable names.</w:t>
      </w:r>
    </w:p>
    <w:p>
      <w:pPr>
        <w:pStyle w:val="ListBullet"/>
      </w:pPr>
      <w:r>
        <w:rPr>
          <w:b w:val="0"/>
          <w:i w:val="0"/>
        </w:rPr>
        <w:t>Missing folders, duplicate identifiers and cycles attached to absent cases prevent saving or opening. Blank physical inputs remain editable and must be completed before Run.</w:t>
      </w:r>
    </w:p>
    <w:p>
      <w:pPr>
        <w:keepNext/>
      </w:pPr>
      <w:r>
        <w:t>Good practice</w:t>
      </w:r>
    </w:p>
    <w:p>
      <w:pPr/>
      <w:r>
        <w:rPr>
          <w:b w:val="0"/>
          <w:i w:val="0"/>
        </w:rPr>
        <w:t>This change concerns Workbench database files only. It does not erase account, licensing or payment history.</w:t>
      </w:r>
    </w:p>
    <w:p>
      <w:pPr>
        <w:pStyle w:val="Heading2"/>
      </w:pPr>
      <w:r>
        <w:t>Choose the run in the SIMULATION block</w:t>
      </w:r>
    </w:p>
    <w:p>
      <w:pPr/>
      <w:r>
        <w:rPr>
          <w:b w:val="0"/>
          <w:i w:val="0"/>
        </w:rPr>
        <w:t>SIMULATION is the control point for the run. Select a Thermal case, Moisture case, Mechanical case and EM case, or None in any slot. Each selected case shows its analysis model, laminate and applicable geometry.</w:t>
      </w:r>
    </w:p>
    <w:p>
      <w:pPr>
        <w:pStyle w:val="ListBullet"/>
      </w:pPr>
      <w:r>
        <w:rPr>
          <w:b w:val="0"/>
          <w:i w:val="0"/>
        </w:rPr>
        <w:t>Keep candidate records in the surrounding blocks. Adding a candidate does not select it for execution.</w:t>
      </w:r>
    </w:p>
    <w:p>
      <w:pPr>
        <w:pStyle w:val="ListBullet"/>
      </w:pPr>
      <w:r>
        <w:rPr>
          <w:b w:val="0"/>
          <w:i w:val="0"/>
        </w:rPr>
        <w:t>Select the required cases in SIMULATION and review their inputs before Run. At least one case is required.</w:t>
      </w:r>
    </w:p>
    <w:p>
      <w:pPr>
        <w:pStyle w:val="ListBullet"/>
      </w:pPr>
      <w:r>
        <w:rPr>
          <w:b w:val="0"/>
          <w:i w:val="0"/>
        </w:rPr>
        <w:t>Use the same laminate for a supported combined run. Run standalone studies separately with the other selectors set to None.</w:t>
      </w:r>
    </w:p>
    <w:p>
      <w:pPr>
        <w:pStyle w:val="ListBullet"/>
      </w:pPr>
      <w:r>
        <w:rPr>
          <w:b w:val="0"/>
          <w:i w:val="0"/>
        </w:rPr>
        <w:t>Run executes the selected combination. A connection or Used marker is not evidence of a successful solve.</w:t>
      </w:r>
    </w:p>
    <w:p>
      <w:pPr>
        <w:keepNext/>
      </w:pPr>
      <w:r>
        <w:t>Good practice</w:t>
      </w:r>
    </w:p>
    <w:p>
      <w:pPr/>
      <w:r>
        <w:rPr>
          <w:b w:val="0"/>
          <w:i w:val="0"/>
        </w:rPr>
        <w:t>Selecting several cases does not add unsupported physics coupling. EM screening studies do not automatically heat the thermal case.</w:t>
      </w:r>
    </w:p>
    <w:p>
      <w:pPr>
        <w:pStyle w:val="Heading2"/>
      </w:pPr>
      <w:r>
        <w:t>Review every downstream geometry dependency</w:t>
      </w:r>
    </w:p>
    <w:p>
      <w:pPr/>
      <w:r>
        <w:rPr>
          <w:b w:val="0"/>
          <w:i w:val="0"/>
        </w:rPr>
        <w:t>A geometry record can be shared by several cases and simulations. Editing its dimensions or type affects all linked consumers, including studies that are not currently open. Unrelated records are unchanged.</w:t>
      </w:r>
    </w:p>
    <w:p>
      <w:pPr>
        <w:pStyle w:val="ListBullet"/>
      </w:pPr>
      <w:r>
        <w:rPr>
          <w:b w:val="0"/>
          <w:i w:val="0"/>
        </w:rPr>
        <w:t>After editing geometry, open Solver messages and expand Review affected cases and simulations. Select a linked name to inspect that record.</w:t>
      </w:r>
    </w:p>
    <w:p>
      <w:pPr>
        <w:pStyle w:val="ListBullet"/>
      </w:pPr>
      <w:r>
        <w:rPr>
          <w:b w:val="0"/>
          <w:i w:val="0"/>
        </w:rPr>
        <w:t>Check the selected model, load basis, dimensions and boundary conditions. Loads are not automatically replaced when the geometry changes.</w:t>
      </w:r>
    </w:p>
    <w:p>
      <w:pPr>
        <w:pStyle w:val="ListBullet"/>
      </w:pPr>
      <w:r>
        <w:rPr>
          <w:b w:val="0"/>
          <w:i w:val="0"/>
        </w:rPr>
        <w:t>Resolve incompatible geometry and model combinations before running. An I-section does not turn a plate theory into a beam theory.</w:t>
      </w:r>
    </w:p>
    <w:p>
      <w:pPr>
        <w:pStyle w:val="ListBullet"/>
      </w:pPr>
      <w:r>
        <w:rPr>
          <w:b w:val="0"/>
          <w:i w:val="0"/>
        </w:rPr>
        <w:t>Rerun affected simulations before relying on previous results. Inputs changed warnings indicate that stored results no longer match their connected inputs.</w:t>
      </w:r>
    </w:p>
    <w:p>
      <w:pPr>
        <w:keepNext/>
      </w:pPr>
      <w:r>
        <w:t>Good practice</w:t>
      </w:r>
    </w:p>
    <w:p>
      <w:pPr/>
      <w:r>
        <w:rPr>
          <w:b w:val="0"/>
          <w:i w:val="0"/>
        </w:rPr>
        <w:t>Geometry affects only dimensions consumed by the selected model. One-dimensional transport retains its through-thickness assumptions; standalone studies may own their dimensions. Under fixed total edge loads, changing plate width changes force per unit width. Under prescribed resultants, it does not.</w:t>
      </w:r>
    </w:p>
    <w:p>
      <w:pPr>
        <w:pStyle w:val="Heading2"/>
      </w:pPr>
      <w:r>
        <w:t>Build the simulation from interactive blocks</w:t>
      </w:r>
    </w:p>
    <w:p>
      <w:pPr/>
      <w:r>
        <w:rPr>
          <w:b w:val="0"/>
          <w:i w:val="0"/>
        </w:rPr>
        <w:t>Choose Block view above the left navigator for a vertical, editable workflow, or Blocks inside SIMULATE for the larger connection view. Live Sim inspects the selected model. Record dropdowns remain visible in Lite view.</w:t>
      </w:r>
    </w:p>
    <w:p>
      <w:pPr>
        <w:pStyle w:val="ListBullet"/>
      </w:pPr>
      <w:r>
        <w:rPr>
          <w:b w:val="0"/>
          <w:i w:val="0"/>
        </w:rPr>
        <w:t>Choose the active simulation, then select compatible materials, Micro recipes, laminates, geometry and cases inside its blocks. Hybrid laminates can retain both stored-material and solved-Micro ply sources.</w:t>
      </w:r>
    </w:p>
    <w:p>
      <w:pPr>
        <w:pStyle w:val="ListBullet"/>
      </w:pPr>
      <w:r>
        <w:rPr>
          <w:b w:val="0"/>
          <w:i w:val="0"/>
        </w:rPr>
        <w:t>Use the local Blocks Lite–Advanced switch for extra details without changing the rest of the workspace. Existing search and current-simulation filters still apply.</w:t>
      </w:r>
    </w:p>
    <w:p>
      <w:pPr>
        <w:pStyle w:val="ListBullet"/>
      </w:pPr>
      <w:r>
        <w:rPr>
          <w:b w:val="0"/>
          <w:i w:val="0"/>
        </w:rPr>
        <w:t>Use the side connections to trace the input path. Hide connections or pause their animation locally; reduced-motion preferences are respected. Animation indicates connection direction, not solver progress.</w:t>
      </w:r>
    </w:p>
    <w:p>
      <w:pPr>
        <w:keepNext/>
      </w:pPr>
      <w:r>
        <w:t>Good practice</w:t>
      </w:r>
    </w:p>
    <w:p>
      <w:pPr/>
      <w:r>
        <w:rPr>
          <w:b w:val="0"/>
          <w:i w:val="0"/>
        </w:rPr>
        <w:t>The current-simulation filter includes used dependencies and added candidate records, even when those candidates are not selected for the run. Show all to browse other allowed library records.</w:t>
      </w:r>
    </w:p>
    <w:p>
      <w:pPr>
        <w:pStyle w:val="Heading2"/>
      </w:pPr>
      <w:r>
        <w:t>Read the blue Used marker</w:t>
      </w:r>
    </w:p>
    <w:p>
      <w:pPr/>
      <w:r>
        <w:rPr>
          <w:b w:val="0"/>
          <w:i w:val="0"/>
        </w:rPr>
        <w:t>Connected, available record selections have a soft blue glow and a Used marker in the corner. Hover or focus the marker to see which downstream record and field uses that input.</w:t>
      </w:r>
    </w:p>
    <w:p>
      <w:pPr>
        <w:pStyle w:val="ListBullet"/>
      </w:pPr>
      <w:r>
        <w:rPr>
          <w:b w:val="0"/>
          <w:i w:val="0"/>
        </w:rPr>
        <w:t>Check the marker before editing a shared input: more than one case can consume it.</w:t>
      </w:r>
    </w:p>
    <w:p>
      <w:pPr>
        <w:pStyle w:val="ListBullet"/>
      </w:pPr>
      <w:r>
        <w:rPr>
          <w:b w:val="0"/>
          <w:i w:val="0"/>
        </w:rPr>
        <w:t>A Used marker means connected, not solved or validated. Review solver status and outdated-result warnings separately.</w:t>
      </w:r>
    </w:p>
    <w:p>
      <w:pPr>
        <w:pStyle w:val="ListBullet"/>
      </w:pPr>
      <w:r>
        <w:rPr>
          <w:b w:val="0"/>
          <w:i w:val="0"/>
        </w:rPr>
        <w:t>Missing or incompatible selections need repair; do not interpret an empty result as zero response.</w:t>
      </w:r>
    </w:p>
    <w:p>
      <w:pPr>
        <w:pStyle w:val="Heading2"/>
      </w:pPr>
      <w:r>
        <w:t>Add replace or disconnect a block input</w:t>
      </w:r>
    </w:p>
    <w:p>
      <w:pPr/>
      <w:r>
        <w:rPr>
          <w:b w:val="0"/>
          <w:i w:val="0"/>
        </w:rPr>
        <w:t>The + control adds another available record to a block, excluding records already present. Use that record row dropdown to change the candidate, its link to open it, and − to remove it from the block. Library records are not deleted.</w:t>
      </w:r>
    </w:p>
    <w:p>
      <w:pPr>
        <w:pStyle w:val="ListBullet"/>
      </w:pPr>
      <w:r>
        <w:rPr>
          <w:b w:val="0"/>
          <w:i w:val="0"/>
        </w:rPr>
        <w:t>Choose + and search for a compatible candidate not already in the block. Decide what actually runs with the four selectors in SIMULATION.</w:t>
      </w:r>
    </w:p>
    <w:p>
      <w:pPr>
        <w:pStyle w:val="ListBullet"/>
      </w:pPr>
      <w:r>
        <w:rPr>
          <w:b w:val="0"/>
          <w:i w:val="0"/>
        </w:rPr>
        <w:t>If no compatible record exists, create one in Inputs. Each case owns its analysis model and applicable cycle. There is no separate Process block to connect.</w:t>
      </w:r>
    </w:p>
    <w:p>
      <w:pPr>
        <w:pStyle w:val="ListBullet"/>
      </w:pPr>
      <w:r>
        <w:rPr>
          <w:b w:val="0"/>
          <w:i w:val="0"/>
        </w:rPr>
        <w:t>A used input must first be disconnected or changed at its consuming field. Review downstream warnings before confirming a removal; cancel to keep it.</w:t>
      </w:r>
    </w:p>
    <w:p>
      <w:pPr>
        <w:pStyle w:val="ListBullet"/>
      </w:pPr>
      <w:r>
        <w:rPr>
          <w:b w:val="0"/>
          <w:i w:val="0"/>
        </w:rPr>
        <w:t>After removal, required missing inputs remain flagged and their selectors allow reconnection. Optional cases may stay disconnected. Rerun affected analyses before relying on their results.</w:t>
      </w:r>
    </w:p>
    <w:p>
      <w:pPr>
        <w:keepNext/>
      </w:pPr>
      <w:r>
        <w:t>Good practice</w:t>
      </w:r>
    </w:p>
    <w:p>
      <w:pPr/>
      <w:r>
        <w:rPr>
          <w:b w:val="0"/>
          <w:i w:val="0"/>
        </w:rPr>
        <w:t>Disconnecting a shared laminate input may affect several cases. Removing a ply-source connection preserves the other ply sources, angles and thicknesses; it does not delete the ply stack.</w:t>
      </w:r>
    </w:p>
    <w:p>
      <w:pPr>
        <w:pStyle w:val="Heading2"/>
      </w:pPr>
      <w:r>
        <w:t>Keep starter laminates in one classification</w:t>
      </w:r>
    </w:p>
    <w:p>
      <w:pPr/>
      <w:r>
        <w:rPr>
          <w:b w:val="0"/>
          <w:i w:val="0"/>
        </w:rPr>
        <w:t>Generated Standard starter Conventional Laminates folders are consolidated into the main Conventional Laminates folder. Distinct laminate record IDs and their simulation links are preserved; identical titles alone are not a reason to delete a record.</w:t>
      </w:r>
    </w:p>
    <w:p>
      <w:pPr>
        <w:keepNext/>
      </w:pPr>
      <w:r>
        <w:t>Good practice</w:t>
      </w:r>
    </w:p>
    <w:p>
      <w:pPr/>
      <w:r>
        <w:rPr>
          <w:b w:val="0"/>
          <w:i w:val="0"/>
        </w:rPr>
        <w:t>Custom folders and exercise collections remain separate. Save the workspace to retain its cleaned organization in your local database.</w:t>
      </w:r>
    </w:p>
    <w:p>
      <w:pPr>
        <w:pStyle w:val="Heading2"/>
      </w:pPr>
      <w:r>
        <w:t>CASES organizes the conditions you apply</w:t>
      </w:r>
    </w:p>
    <w:p>
      <w:pPr/>
      <w:r>
        <w:rPr>
          <w:b w:val="0"/>
          <w:i w:val="0"/>
        </w:rPr>
        <w:t>CASES is the Workbench section formerly called LOAD or Loading. Its four types are Thermal, Moisture, Mechanical and Electromagnetic. A case defines the model, conditions and linked inputs for one study; SIMULATE connects the cases into the supported workflow.</w:t>
      </w:r>
    </w:p>
    <w:p>
      <w:pPr>
        <w:pStyle w:val="ListBullet"/>
      </w:pPr>
      <w:r>
        <w:rPr>
          <w:b w:val="0"/>
          <w:i w:val="0"/>
        </w:rPr>
        <w:t>Choose the appropriate case type. Thermal and moisture cases use their compatible transport properties and boundary schedules; structural cases define forces, pressure, restraints or prescribed motion; EM cases define field, frequency and supported wave-study inputs.</w:t>
      </w:r>
    </w:p>
    <w:p>
      <w:pPr>
        <w:pStyle w:val="ListBullet"/>
      </w:pPr>
      <w:r>
        <w:rPr>
          <w:b w:val="0"/>
          <w:i w:val="0"/>
        </w:rPr>
        <w:t>Each case selects one analysis model and owns its applicable cycle. Configure thermal initial conditions and upper/lower surface schedules in that case; moisture and mechanical schedules remain separate. Select cases in SIMULATION, not a separate Process block.</w:t>
      </w:r>
    </w:p>
    <w:p>
      <w:pPr>
        <w:pStyle w:val="ListBullet"/>
      </w:pPr>
      <w:r>
        <w:rPr>
          <w:b w:val="0"/>
          <w:i w:val="0"/>
        </w:rPr>
        <w:t>Use an existing case or create one, check its laminate, geometry and model, then apply it to the current simulation. Review missing-input messages before running.</w:t>
      </w:r>
    </w:p>
    <w:p>
      <w:pPr>
        <w:keepNext/>
      </w:pPr>
      <w:r>
        <w:t>Good practice</w:t>
      </w:r>
    </w:p>
    <w:p>
      <w:pPr/>
      <w:r>
        <w:rPr>
          <w:b w:val="0"/>
          <w:i w:val="0"/>
        </w:rPr>
        <w:t>Load still means a physical force or applied condition in equations and results. Earlier screenshots may show LOAD or Loading: use CASES in the current interface. Renaming the navigation does not add model coupling or change a saved calculation.</w:t>
      </w:r>
    </w:p>
    <w:p>
      <w:pPr>
        <w:pStyle w:val="Heading2"/>
      </w:pPr>
      <w:r>
        <w:t>Test section stiffness during cure</w:t>
      </w:r>
    </w:p>
    <w:p>
      <w:pPr/>
      <w:r>
        <w:rPr>
          <w:b w:val="0"/>
          <w:i w:val="0"/>
        </w:rPr>
        <w:t>The x–z section can use the linked matrix’s CHILE cure-dependent modulus, with the Micro recipe recomputing longitudinal, transverse and shear stiffnesses through the thickness.</w:t>
      </w:r>
    </w:p>
    <w:p>
      <w:pPr>
        <w:pStyle w:val="ListBullet"/>
      </w:pPr>
      <w:r>
        <w:rPr>
          <w:b w:val="0"/>
          <w:i w:val="0"/>
        </w:rPr>
        <w:t>Link cure kinetics and a cure-modulus model to the matrix used by the Micro recipe. All section plies must use that same recipe and equal ply thicknesses for the current cure integration.</w:t>
      </w:r>
    </w:p>
    <w:p>
      <w:pPr>
        <w:pStyle w:val="ListBullet"/>
      </w:pPr>
      <w:r>
        <w:rPr>
          <w:b w:val="0"/>
          <w:i w:val="0"/>
        </w:rPr>
        <w:t>Include a transient thermal/cure analysis in the simulation and select that Thermal case in the x-z section. Select Cure history under Section stiffness state. Exactly one matching transient thermal/cure history is required.</w:t>
      </w:r>
    </w:p>
    <w:p>
      <w:pPr>
        <w:pStyle w:val="ListBullet"/>
      </w:pPr>
      <w:r>
        <w:rPr>
          <w:b w:val="0"/>
          <w:i w:val="0"/>
        </w:rPr>
        <w:t>Enter Section cure time in minutes, or -1 for the final process time. Run again: the section consumes cure data generated in that same run, not an older saved result.</w:t>
      </w:r>
    </w:p>
    <w:p>
      <w:pPr>
        <w:pStyle w:val="ListBullet"/>
      </w:pPr>
      <w:r>
        <w:rPr>
          <w:b w:val="0"/>
          <w:i w:val="0"/>
        </w:rPr>
        <w:t>Read the reported time and cure range with the stress, displacement and apparent z-modulus results. Compare several cure times. Refine both the thermal mesh and section nodes per ply to resolve gradients.</w:t>
      </w:r>
    </w:p>
    <w:p>
      <w:pPr>
        <w:keepNext/>
      </w:pPr>
      <w:r>
        <w:t>Good practice</w:t>
      </w:r>
    </w:p>
    <w:p>
      <w:pPr/>
      <w:r>
        <w:rPr>
          <w:b w:val="0"/>
          <w:i w:val="0"/>
        </w:rPr>
        <w:t>This applies stiffness at a selected cure state under the entered mechanical tractions. It does not transfer accumulated thermal or cure-shrinkage residual stress into the section, predict cure-dependent strength, or model uncured resin flow. Reference mode retains the original elastic calculation; leave its optional Thermal case blank.</w:t>
      </w:r>
    </w:p>
    <w:p>
      <w:pPr>
        <w:pStyle w:val="Heading2"/>
      </w:pPr>
      <w:r>
        <w:t>Through-thickness testing with an x z section</w:t>
      </w:r>
    </w:p>
    <w:p>
      <w:pPr/>
      <w:r>
        <w:rPr>
          <w:b w:val="0"/>
          <w:i w:val="0"/>
        </w:rPr>
        <w:t>The layerwise x–z section model resolves through-thickness displacement, normal stress and shear using the linked laminate and a finite rectangular Plate. It is separate from the existing plane-stress laminate solver. The omitted y direction has zero normal strain; z remains free to deform.</w:t>
      </w:r>
    </w:p>
    <w:p>
      <w:pPr>
        <w:pStyle w:val="ListBullet"/>
      </w:pPr>
      <w:r>
        <w:rPr>
          <w:b w:val="0"/>
          <w:i w:val="0"/>
        </w:rPr>
        <w:t>Create a structural case and choose x-z section. Link a finite Plate and the laminate. Plate Length sets the x extent; the laminate supplies ply thickness, angle and material references.</w:t>
      </w:r>
    </w:p>
    <w:p>
      <w:pPr>
        <w:pStyle w:val="ListBullet"/>
      </w:pPr>
      <w:r>
        <w:rPr>
          <w:b w:val="0"/>
          <w:i w:val="0"/>
        </w:rPr>
        <w:t>Verify complete 3D elastic properties on each material, or the linked Micro recipe’s homogenized outputs. A missing E3 or transverse shear modulus is not supplied by selecting the model.</w:t>
      </w:r>
    </w:p>
    <w:p>
      <w:pPr>
        <w:pStyle w:val="ListBullet"/>
      </w:pPr>
      <w:r>
        <w:rPr>
          <w:b w:val="0"/>
          <w:i w:val="0"/>
        </w:rPr>
        <w:t>Enter Section traction Z in MPa: positive for tension, negative for compression. Section traction X acts on the right face; Section traction XZ applies x-directed shear on the top face. These are face tractions, not total forces.</w:t>
      </w:r>
    </w:p>
    <w:p>
      <w:pPr>
        <w:pStyle w:val="ListBullet"/>
      </w:pPr>
      <w:r>
        <w:rPr>
          <w:b w:val="0"/>
          <w:i w:val="0"/>
        </w:rPr>
        <w:t>Set Section length elements and Section nodes per ply. The mesh shares interface displacements. Run the linked simulation and open structural Response to view the dedicated section map and scrollable table.</w:t>
      </w:r>
    </w:p>
    <w:p>
      <w:pPr>
        <w:pStyle w:val="ListBullet"/>
      </w:pPr>
      <w:r>
        <w:rPr>
          <w:b w:val="0"/>
          <w:i w:val="0"/>
        </w:rPr>
        <w:t>Compare σz, τxz, displacement and strain. Refine both mesh directions and review the equation residual and force imbalance before interpreting local peaks.</w:t>
      </w:r>
    </w:p>
    <w:p>
      <w:pPr>
        <w:keepNext/>
      </w:pPr>
      <w:r>
        <w:t>Good practice</w:t>
      </w:r>
    </w:p>
    <w:p>
      <w:pPr/>
      <w:r>
        <w:rPr>
          <w:b w:val="0"/>
          <w:i w:val="0"/>
        </w:rPr>
        <w:t>Snapshot linear elasticity at the selected reference or cure state, with perfect bonding. Left-edge ux and bottom-edge uz are restrained; uy is pinned at the origin but otherwise allowed to warp. Apparent z test modulus includes these supports and the y restraint: it is not free-lateral E3. Tension/compression stiffness is identical at a given cure state; strengths, delamination, cure/thermal preload and damage are not predicted. Element-centre stresses are unsmoothed; corner/interface peaks may be mesh dependent.</w:t>
      </w:r>
    </w:p>
    <w:p>
      <w:pPr>
        <w:pStyle w:val="Heading2"/>
      </w:pPr>
      <w:r>
        <w:t>Geometry-driven virtual testing</w:t>
      </w:r>
    </w:p>
    <w:p>
      <w:pPr/>
      <w:r>
        <w:rPr>
          <w:b w:val="0"/>
          <w:i w:val="0"/>
        </w:rPr>
        <w:t>Choose a Load basis in the structural case inputs. Infinite plate is the default geometry for new membrane studies and uses force per unit width. A finite Plate can instead use total edge forces and moments. Existing saved resultants retain their original units until you explicitly choose a different load basis.</w:t>
      </w:r>
    </w:p>
    <w:p>
      <w:pPr>
        <w:pStyle w:val="ListBullet"/>
      </w:pPr>
      <w:r>
        <w:rPr>
          <w:b w:val="0"/>
          <w:i w:val="0"/>
        </w:rPr>
        <w:t>For Infinite plate, enter Nx, Ny and Nxy in force per unit width and Mx, My and Mxy in moment per unit width. Changing a schematic width does not change these resultants.</w:t>
      </w:r>
    </w:p>
    <w:p>
      <w:pPr>
        <w:pStyle w:val="ListBullet"/>
      </w:pPr>
      <w:r>
        <w:rPr>
          <w:b w:val="0"/>
          <w:i w:val="0"/>
        </w:rPr>
        <w:t>For a finite Plate, choose Total edge loads. Force X is divided by Width, Force Y by Length, and Shear force by Width to obtain uniform laminate resultants. Bending moments use the corresponding edge length. Changing geometry therefore changes the stress and strain under a fixed total load.</w:t>
      </w:r>
    </w:p>
    <w:p>
      <w:pPr>
        <w:pStyle w:val="ListBullet"/>
      </w:pPr>
      <w:r>
        <w:rPr>
          <w:b w:val="0"/>
          <w:i w:val="0"/>
        </w:rPr>
        <w:t>For a beam, choose Beam test and link a rectangular, I-section, circular section, or plate-strip geometry. Select simple supports or a cantilever, then central/tip point loading or a uniform distributed load. The support span must fit within the member length.</w:t>
      </w:r>
    </w:p>
    <w:p>
      <w:pPr>
        <w:pStyle w:val="ListBullet"/>
      </w:pPr>
      <w:r>
        <w:rPr>
          <w:b w:val="0"/>
          <w:i w:val="0"/>
        </w:rPr>
        <w:t>Review section area and inertia, critical moment and shear, support reaction, top/bottom axial stress and strain, and maximum deflection. Beam stiffness uses effective axial Ex and the linked section inertia.</w:t>
      </w:r>
    </w:p>
    <w:p>
      <w:pPr>
        <w:pStyle w:val="ListBullet"/>
      </w:pPr>
      <w:r>
        <w:rPr>
          <w:b w:val="0"/>
          <w:i w:val="0"/>
        </w:rPr>
        <w:t>Keep the load case, geometry, laminate and material records together when saving the simulation.</w:t>
      </w:r>
    </w:p>
    <w:p>
      <w:pPr>
        <w:keepNext/>
      </w:pPr>
      <w:r>
        <w:t>Good practice</w:t>
      </w:r>
    </w:p>
    <w:p>
      <w:pPr/>
      <w:r>
        <w:rPr>
          <w:b w:val="0"/>
          <w:i w:val="0"/>
        </w:rPr>
        <w:t>Plate results assume uniform edge traction and do not resolve grip effects or hole stress concentrations. Beam results use small-deflection Euler–Bernoulli theory with an equivalent uniform axial modulus; they exclude shear deflection, local buckling, joints and ply-level beam failure.</w:t>
      </w:r>
    </w:p>
    <w:p>
      <w:pPr>
        <w:pStyle w:val="Heading2"/>
      </w:pPr>
      <w:r>
        <w:t>A dependency chain not a set of isolated forms</w:t>
      </w:r>
    </w:p>
    <w:p>
      <w:pPr/>
      <w:r>
        <w:rPr>
          <w:b w:val="0"/>
          <w:i w:val="0"/>
        </w:rPr>
        <w:t>A simulation selects its Thermal, Moisture, Mechanical and EM cases. Each case references the inputs consumed by its model and owns its applicable cycle. A laminate contains ordered plies, each referencing a material or solved lamina. A micromechanics record links constituent materials and an architecture-compatible homogenization model. Reusing a record means reusing the same underlying data; duplicating it creates a separate record.</w:t>
      </w:r>
    </w:p>
    <w:p>
      <w:pPr>
        <w:pStyle w:val="ListBullet"/>
      </w:pPr>
      <w:r>
        <w:rPr>
          <w:b w:val="0"/>
          <w:i w:val="0"/>
        </w:rPr>
        <w:t>Begin with material units, density, elastic constants and strength allowables. Starter values are representative—not certified design allowables.</w:t>
      </w:r>
      <w:r>
        <w:rPr>
          <w:b w:val="0"/>
          <w:i w:val="0"/>
        </w:rPr>
        <w:t xml:space="preserve"> </w:t>
      </w:r>
      <w:r>
        <w:rPr>
          <w:b w:val="0"/>
          <w:i w:val="0"/>
        </w:rPr>
        <w:t xml:space="preserve"> </w:t>
      </w:r>
      <w:hyperlink r:id="rId17">
        <w:r>
          <w:rPr>
            <w:color w:val="176EA4"/>
          </w:rPr>
          <w:t>See screenshot</w:t>
        </w:r>
      </w:hyperlink>
      <w:r>
        <w:t xml:space="preserve"> </w:t>
      </w:r>
    </w:p>
    <w:p>
      <w:pPr>
        <w:pStyle w:val="ListBullet"/>
      </w:pPr>
      <w:r>
        <w:rPr>
          <w:b w:val="0"/>
          <w:i w:val="0"/>
        </w:rPr>
        <w:t>Choose the microstructure and compatible model, then constituents, volume fractions and geometric inputs. Check the live cross-section and effective properties.</w:t>
      </w:r>
      <w:r>
        <w:rPr>
          <w:b w:val="0"/>
          <w:i w:val="0"/>
        </w:rPr>
        <w:t xml:space="preserve"> </w:t>
      </w:r>
      <w:r>
        <w:rPr>
          <w:b w:val="0"/>
          <w:i w:val="0"/>
        </w:rPr>
        <w:t xml:space="preserve"> </w:t>
      </w:r>
      <w:hyperlink r:id="rId18">
        <w:r>
          <w:rPr>
            <w:color w:val="176EA4"/>
          </w:rPr>
          <w:t>See screenshot</w:t>
        </w:r>
      </w:hyperlink>
      <w:r>
        <w:t xml:space="preserve"> </w:t>
      </w:r>
    </w:p>
    <w:p>
      <w:pPr>
        <w:pStyle w:val="ListBullet"/>
      </w:pPr>
      <w:r>
        <w:rPr>
          <w:b w:val="0"/>
          <w:i w:val="0"/>
        </w:rPr>
        <w:t>Build the laminate: verify source, angle, thickness, ordering, symmetry, balance and visible plies.</w:t>
      </w:r>
      <w:r>
        <w:rPr>
          <w:b w:val="0"/>
          <w:i w:val="0"/>
        </w:rPr>
        <w:t xml:space="preserve"> </w:t>
      </w:r>
      <w:r>
        <w:rPr>
          <w:b w:val="0"/>
          <w:i w:val="0"/>
        </w:rPr>
        <w:t xml:space="preserve"> </w:t>
      </w:r>
      <w:hyperlink r:id="rId19">
        <w:r>
          <w:rPr>
            <w:color w:val="176EA4"/>
          </w:rPr>
          <w:t>See screenshot</w:t>
        </w:r>
      </w:hyperlink>
      <w:r>
        <w:t xml:space="preserve"> </w:t>
      </w:r>
    </w:p>
    <w:p>
      <w:pPr>
        <w:pStyle w:val="ListBullet"/>
      </w:pPr>
      <w:r>
        <w:rPr>
          <w:b w:val="0"/>
          <w:i w:val="0"/>
        </w:rPr>
        <w:t>Link the applicable geometry and laminate inside each case. Choose the case combination in SIMULATION and review Summary before Run.</w:t>
      </w:r>
      <w:r>
        <w:rPr>
          <w:b w:val="0"/>
          <w:i w:val="0"/>
        </w:rPr>
        <w:t xml:space="preserve"> </w:t>
      </w:r>
      <w:r>
        <w:rPr>
          <w:b w:val="0"/>
          <w:i w:val="0"/>
        </w:rPr>
        <w:t xml:space="preserve"> </w:t>
      </w:r>
      <w:hyperlink r:id="rId20">
        <w:r>
          <w:rPr>
            <w:color w:val="176EA4"/>
          </w:rPr>
          <w:t>See screenshot</w:t>
        </w:r>
      </w:hyperlink>
      <w:r>
        <w:t xml:space="preserve"> </w:t>
      </w:r>
    </w:p>
    <w:p>
      <w:pPr>
        <w:pStyle w:val="ListBullet"/>
      </w:pPr>
      <w:r>
        <w:rPr>
          <w:b w:val="0"/>
          <w:i w:val="0"/>
        </w:rPr>
        <w:t>Save a dependency-complete CDS_DB checkpoint so references travel with the study.</w:t>
      </w:r>
    </w:p>
    <w:p>
      <w:pPr>
        <w:keepNext w:val="0"/>
        <w:jc w:val="center"/>
      </w:pPr>
      <w:r>
        <w:drawing>
          <wp:inline xmlns:a="http://schemas.openxmlformats.org/drawingml/2006/main" xmlns:pic="http://schemas.openxmlformats.org/drawingml/2006/picture">
            <wp:extent cx="6217920" cy="4304354"/>
            <wp:docPr id="2" name="Picture 2" descr="Begin with sourced constituent properties."/>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21"/>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1</w:t>
      </w:r>
      <w:r>
        <w:rPr>
          <w:b/>
          <w:i w:val="0"/>
        </w:rPr>
        <w:t xml:space="preserve"> </w:t>
      </w:r>
      <w:r>
        <w:rPr>
          <w:b/>
          <w:i w:val="0"/>
        </w:rPr>
        <w:t xml:space="preserve"> · </w:t>
      </w:r>
      <w:r>
        <w:rPr>
          <w:b w:val="0"/>
          <w:i w:val="0"/>
        </w:rPr>
        <w:t>Begin with sourced constituent properties.</w:t>
      </w:r>
      <w:r>
        <w:rPr>
          <w:b w:val="0"/>
          <w:i w:val="0"/>
        </w:rPr>
        <w:t xml:space="preserve"> </w:t>
      </w:r>
      <w:r>
        <w:rPr>
          <w:b w:val="0"/>
          <w:i w:val="0"/>
        </w:rPr>
        <w:t xml:space="preserve"> </w:t>
      </w:r>
      <w:hyperlink r:id="rId22">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val="0"/>
        <w:jc w:val="center"/>
      </w:pPr>
      <w:r>
        <w:drawing>
          <wp:inline xmlns:a="http://schemas.openxmlformats.org/drawingml/2006/main" xmlns:pic="http://schemas.openxmlformats.org/drawingml/2006/picture">
            <wp:extent cx="6217920" cy="4897347"/>
            <wp:docPr id="3" name="Picture 3" descr="Select the micromechanics architecture and model."/>
            <wp:cNvGraphicFramePr>
              <a:graphicFrameLocks noChangeAspect="1"/>
            </wp:cNvGraphicFramePr>
            <a:graphic>
              <a:graphicData uri="http://schemas.openxmlformats.org/drawingml/2006/picture">
                <pic:pic>
                  <pic:nvPicPr>
                    <pic:cNvPr id="0" name="56a1bd74d21d0691e23c163a8ea3b1f5fef6777ca1f240ad2de3993c21d1cf84.png"/>
                    <pic:cNvPicPr/>
                  </pic:nvPicPr>
                  <pic:blipFill>
                    <a:blip r:embed="rId23"/>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2</w:t>
      </w:r>
      <w:r>
        <w:rPr>
          <w:b/>
          <w:i w:val="0"/>
        </w:rPr>
        <w:t xml:space="preserve"> </w:t>
      </w:r>
      <w:r>
        <w:rPr>
          <w:b/>
          <w:i w:val="0"/>
        </w:rPr>
        <w:t xml:space="preserve"> · </w:t>
      </w:r>
      <w:r>
        <w:rPr>
          <w:b w:val="0"/>
          <w:i w:val="0"/>
        </w:rPr>
        <w:t>Select the micromechanics architecture and model.</w:t>
      </w:r>
      <w:r>
        <w:rPr>
          <w:b w:val="0"/>
          <w:i w:val="0"/>
        </w:rPr>
        <w:t xml:space="preserve"> </w:t>
      </w:r>
      <w:r>
        <w:rPr>
          <w:b w:val="0"/>
          <w:i w:val="0"/>
        </w:rPr>
        <w:t xml:space="preserve"> </w:t>
      </w:r>
      <w:hyperlink r:id="rId24">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val="0"/>
        <w:jc w:val="center"/>
      </w:pPr>
      <w:r>
        <w:drawing>
          <wp:inline xmlns:a="http://schemas.openxmlformats.org/drawingml/2006/main" xmlns:pic="http://schemas.openxmlformats.org/drawingml/2006/picture">
            <wp:extent cx="6217920" cy="3497580"/>
            <wp:docPr id="4" name="Picture 4" descr="Review the ply sequence, source and thickness."/>
            <wp:cNvGraphicFramePr>
              <a:graphicFrameLocks noChangeAspect="1"/>
            </wp:cNvGraphicFramePr>
            <a:graphic>
              <a:graphicData uri="http://schemas.openxmlformats.org/drawingml/2006/picture">
                <pic:pic>
                  <pic:nvPicPr>
                    <pic:cNvPr id="0" name="b98b322234bb1808339ffb732da1d404fea2cc3b4b018147cf6bc9be08c7b09f.png"/>
                    <pic:cNvPicPr/>
                  </pic:nvPicPr>
                  <pic:blipFill>
                    <a:blip r:embed="rId25"/>
                    <a:stretch>
                      <a:fillRect/>
                    </a:stretch>
                  </pic:blipFill>
                  <pic:spPr>
                    <a:xfrm>
                      <a:off x="0" y="0"/>
                      <a:ext cx="6217920" cy="3497580"/>
                    </a:xfrm>
                    <a:prstGeom prst="rect"/>
                  </pic:spPr>
                </pic:pic>
              </a:graphicData>
            </a:graphic>
          </wp:inline>
        </w:drawing>
      </w:r>
    </w:p>
    <w:p>
      <w:pPr>
        <w:pStyle w:val="Caption"/>
      </w:pPr>
      <w:r>
        <w:rPr>
          <w:b/>
          <w:i w:val="0"/>
        </w:rPr>
        <w:t xml:space="preserve">Steps </w:t>
      </w:r>
      <w:r>
        <w:rPr>
          <w:b/>
          <w:i w:val="0"/>
        </w:rPr>
        <w:t xml:space="preserve"> </w:t>
      </w:r>
      <w:r>
        <w:rPr>
          <w:b/>
          <w:i w:val="0"/>
        </w:rPr>
        <w:t>3</w:t>
      </w:r>
      <w:r>
        <w:rPr>
          <w:b/>
          <w:i w:val="0"/>
        </w:rPr>
        <w:t xml:space="preserve"> </w:t>
      </w:r>
      <w:r>
        <w:rPr>
          <w:b/>
          <w:i w:val="0"/>
        </w:rPr>
        <w:t xml:space="preserve"> · </w:t>
      </w:r>
      <w:r>
        <w:rPr>
          <w:b w:val="0"/>
          <w:i w:val="0"/>
        </w:rPr>
        <w:t>Review the ply sequence, source and thickness.</w:t>
      </w:r>
      <w:r>
        <w:rPr>
          <w:b w:val="0"/>
          <w:i w:val="0"/>
        </w:rPr>
        <w:t xml:space="preserve"> </w:t>
      </w:r>
      <w:r>
        <w:rPr>
          <w:b w:val="0"/>
          <w:i w:val="0"/>
        </w:rPr>
        <w:t xml:space="preserve"> </w:t>
      </w:r>
      <w:hyperlink r:id="rId2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jc w:val="center"/>
      </w:pPr>
      <w:r>
        <w:drawing>
          <wp:inline xmlns:a="http://schemas.openxmlformats.org/drawingml/2006/main" xmlns:pic="http://schemas.openxmlformats.org/drawingml/2006/picture">
            <wp:extent cx="6217920" cy="4897347"/>
            <wp:docPr id="5" name="Picture 5" descr="Earlier interface shown for reference. Connect laminate and applicable geometry inside each case, then select the case combination in SIMULATION."/>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27"/>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4</w:t>
      </w:r>
      <w:r>
        <w:rPr>
          <w:b/>
          <w:i w:val="0"/>
        </w:rPr>
        <w:t xml:space="preserve"> </w:t>
      </w:r>
      <w:r>
        <w:rPr>
          <w:b/>
          <w:i w:val="0"/>
        </w:rPr>
        <w:t xml:space="preserve"> · </w:t>
      </w:r>
      <w:r>
        <w:rPr>
          <w:b w:val="0"/>
          <w:i w:val="0"/>
        </w:rPr>
        <w:t>Earlier interface shown for reference. Connect laminate and applicable geometry inside each case, then select the case combination in SIMULATION.</w:t>
      </w:r>
      <w:r>
        <w:rPr>
          <w:b w:val="0"/>
          <w:i w:val="0"/>
        </w:rPr>
        <w:t xml:space="preserve"> </w:t>
      </w:r>
      <w:r>
        <w:rPr>
          <w:b w:val="0"/>
          <w:i w:val="0"/>
        </w:rPr>
        <w:t xml:space="preserve"> </w:t>
      </w:r>
      <w:hyperlink r:id="rId28">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A display icon or selected theory does not supply missing material parameters. Inspect the consumed inputs and solver messages.</w:t>
      </w:r>
    </w:p>
    <w:p>
      <w:pPr>
        <w:pStyle w:val="Heading2"/>
      </w:pPr>
      <w:r>
        <w:t>Live sync navigation and calculation are different</w:t>
      </w:r>
    </w:p>
    <w:p>
      <w:pPr/>
      <w:r>
        <w:rPr>
          <w:b w:val="0"/>
          <w:i w:val="0"/>
        </w:rPr>
        <w:t>Inputs and Outputs have independent menu-response controls. With a control enabled, selecting a tree record updates that pane. Turn one off to keep its current view while navigating the other. An explicit open/double-click can open the chosen record even when ordinary menu response is off.</w:t>
      </w:r>
    </w:p>
    <w:p>
      <w:pPr>
        <w:pStyle w:val="ListBullet"/>
      </w:pPr>
      <w:r>
        <w:rPr>
          <w:b w:val="0"/>
          <w:i w:val="0"/>
        </w:rPr>
        <w:t>Use the Inputs/Outputs link controls to decide which pane follows tree selection.</w:t>
      </w:r>
      <w:r>
        <w:rPr>
          <w:b w:val="0"/>
          <w:i w:val="0"/>
        </w:rPr>
        <w:t xml:space="preserve"> </w:t>
      </w:r>
      <w:r>
        <w:rPr>
          <w:b w:val="0"/>
          <w:i w:val="0"/>
        </w:rPr>
        <w:t xml:space="preserve"> </w:t>
      </w:r>
      <w:hyperlink r:id="rId29">
        <w:r>
          <w:rPr>
            <w:color w:val="176EA4"/>
          </w:rPr>
          <w:t>See screenshot</w:t>
        </w:r>
      </w:hyperlink>
      <w:r>
        <w:t xml:space="preserve"> </w:t>
      </w:r>
    </w:p>
    <w:p>
      <w:pPr>
        <w:pStyle w:val="ListBullet"/>
      </w:pPr>
      <w:r>
        <w:rPr>
          <w:b w:val="0"/>
          <w:i w:val="0"/>
        </w:rPr>
        <w:t>Use Ctrl/Command-click or Shift-click for comparison selections; check the selected record names, not just the active tab.</w:t>
      </w:r>
    </w:p>
    <w:p>
      <w:pPr>
        <w:pStyle w:val="ListBullet"/>
      </w:pPr>
      <w:r>
        <w:rPr>
          <w:b w:val="0"/>
          <w:i w:val="0"/>
        </w:rPr>
        <w:t>Drag the main and internal dividers to allocate space. Plot resizing changes presentation, not numerical fidelity.</w:t>
      </w:r>
      <w:r>
        <w:rPr>
          <w:b w:val="0"/>
          <w:i w:val="0"/>
        </w:rPr>
        <w:t xml:space="preserve"> </w:t>
      </w:r>
      <w:r>
        <w:rPr>
          <w:b w:val="0"/>
          <w:i w:val="0"/>
        </w:rPr>
        <w:t xml:space="preserve"> </w:t>
      </w:r>
      <w:hyperlink r:id="rId29">
        <w:r>
          <w:rPr>
            <w:color w:val="176EA4"/>
          </w:rPr>
          <w:t>See screenshot</w:t>
        </w:r>
      </w:hyperlink>
      <w:r>
        <w:t xml:space="preserve"> </w:t>
      </w:r>
    </w:p>
    <w:p>
      <w:pPr>
        <w:keepNext/>
        <w:jc w:val="center"/>
      </w:pPr>
      <w:r>
        <w:drawing>
          <wp:inline xmlns:a="http://schemas.openxmlformats.org/drawingml/2006/main" xmlns:pic="http://schemas.openxmlformats.org/drawingml/2006/picture">
            <wp:extent cx="6217920" cy="4304354"/>
            <wp:docPr id="6" name="Picture 6" descr="The chain controls at the left of the input and output tabs control which pane follows selection. Dividers allocate space between the tree, inputs and outputs."/>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21"/>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1, 3</w:t>
      </w:r>
      <w:r>
        <w:rPr>
          <w:b/>
          <w:i w:val="0"/>
        </w:rPr>
        <w:t xml:space="preserve"> </w:t>
      </w:r>
      <w:r>
        <w:rPr>
          <w:b/>
          <w:i w:val="0"/>
        </w:rPr>
        <w:t xml:space="preserve"> · </w:t>
      </w:r>
      <w:r>
        <w:rPr>
          <w:b w:val="0"/>
          <w:i w:val="0"/>
        </w:rPr>
        <w:t>The chain controls at the left of the input and output tabs control which pane follows selection. Dividers allocate space between the tree, inputs and outputs.</w:t>
      </w:r>
      <w:r>
        <w:rPr>
          <w:b w:val="0"/>
          <w:i w:val="0"/>
        </w:rPr>
        <w:t xml:space="preserve"> </w:t>
      </w:r>
      <w:r>
        <w:rPr>
          <w:b w:val="0"/>
          <w:i w:val="0"/>
        </w:rPr>
        <w:t xml:space="preserve"> </w:t>
      </w:r>
      <w:hyperlink r:id="rId22">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Live sync is not automatic cloud collaboration, a saved snapshot, or a guarantee that every solver result has been recalculated.</w:t>
      </w:r>
    </w:p>
    <w:p>
      <w:pPr>
        <w:pStyle w:val="Heading2"/>
      </w:pPr>
      <w:r>
        <w:t>Know whether you are viewing live or saved results</w:t>
      </w:r>
    </w:p>
    <w:p>
      <w:pPr/>
      <w:r>
        <w:rPr>
          <w:b w:val="0"/>
          <w:i w:val="0"/>
        </w:rPr>
        <w:t>Live CLT uses the current visible ply materials, thicknesses, angles and mechanical loads. A material change can therefore update elastic stress/strain previews without a full service run. Thermal, cure and moisture residuals may still come from the last saved solver run.</w:t>
      </w:r>
    </w:p>
    <w:p>
      <w:pPr>
        <w:pStyle w:val="ListBullet"/>
      </w:pPr>
      <w:r>
        <w:rPr>
          <w:b w:val="0"/>
          <w:i w:val="0"/>
        </w:rPr>
        <w:t>Read the response source and process-time controls in Response. Combined, mechanical and environmental contributions are different views.</w:t>
      </w:r>
    </w:p>
    <w:p>
      <w:pPr>
        <w:pStyle w:val="ListBullet"/>
      </w:pPr>
      <w:r>
        <w:rPr>
          <w:b w:val="0"/>
          <w:i w:val="0"/>
        </w:rPr>
        <w:t>After changing a material, laminate or process history, rerun the solver before relying on coupled residual results.</w:t>
      </w:r>
    </w:p>
    <w:p>
      <w:pPr>
        <w:pStyle w:val="ListBullet"/>
      </w:pPr>
      <w:r>
        <w:rPr>
          <w:b w:val="0"/>
          <w:i w:val="0"/>
        </w:rPr>
        <w:t>Treat Inputs changed, rerun, incomplete inputs and unavailable-contribution messages as part of the result—not cosmetic warnings.</w:t>
      </w:r>
    </w:p>
    <w:p>
      <w:pPr>
        <w:pStyle w:val="ListBullet"/>
      </w:pPr>
      <w:r>
        <w:rPr>
          <w:b w:val="0"/>
          <w:i w:val="0"/>
        </w:rPr>
        <w:t>Use Run History to identify the completed run and its messages. Save input records and export the complete study when it becomes a review baseline.</w:t>
      </w:r>
    </w:p>
    <w:p>
      <w:pPr>
        <w:keepNext/>
      </w:pPr>
      <w:r>
        <w:t>Good practice</w:t>
      </w:r>
    </w:p>
    <w:p>
      <w:pPr/>
      <w:r>
        <w:rPr>
          <w:b w:val="0"/>
          <w:i w:val="0"/>
        </w:rPr>
        <w:t>Increasing plotted recovery nodes per ply improves sampling; it does not add a new three-dimensional constitutive model or recover unmodeled physics.</w:t>
      </w:r>
    </w:p>
    <w:p>
      <w:pPr>
        <w:pStyle w:val="Heading2"/>
      </w:pPr>
      <w:r>
        <w:t>Material classes icons and searchable selection</w:t>
      </w:r>
    </w:p>
    <w:p>
      <w:pPr/>
      <w:r>
        <w:rPr>
          <w:b w:val="0"/>
          <w:i w:val="0"/>
        </w:rPr>
        <w:t>Built-in material classes have stable visual identities: fibers, polymers, hexagonal cores, metal ingots, elastomer dogbones and green composite microstructure icons. User-defined classes can have a selected icon and color. A new material also needs a material type because type determines its input records.</w:t>
      </w:r>
    </w:p>
    <w:p>
      <w:pPr>
        <w:pStyle w:val="ListBullet"/>
      </w:pPr>
      <w:r>
        <w:rPr>
          <w:b w:val="0"/>
          <w:i w:val="0"/>
        </w:rPr>
        <w:t>Search the laminate material selector by material or class. Use the All materials filter above Material / solved lamina to narrow long lists.</w:t>
      </w:r>
    </w:p>
    <w:p>
      <w:pPr>
        <w:pStyle w:val="ListBullet"/>
      </w:pPr>
      <w:r>
        <w:rPr>
          <w:b w:val="0"/>
          <w:i w:val="0"/>
        </w:rPr>
        <w:t>Confirm the full material name and source type before selecting a ply source. Color helps recognition; it is not a substitute for identity or units.</w:t>
      </w:r>
    </w:p>
    <w:p>
      <w:pPr>
        <w:pStyle w:val="ListBullet"/>
      </w:pPr>
      <w:r>
        <w:rPr>
          <w:b w:val="0"/>
          <w:i w:val="0"/>
        </w:rPr>
        <w:t>Use a selected column’s fill-down arrow to copy the selected row’s value. Review the affected plies before saving.</w:t>
      </w:r>
    </w:p>
    <w:p>
      <w:pPr>
        <w:pStyle w:val="ListBullet"/>
      </w:pPr>
      <w:r>
        <w:rPr>
          <w:b w:val="0"/>
          <w:i w:val="0"/>
        </w:rPr>
        <w:t>Use Duplicate and enter a count for design studies. Copies get separate identities; linked records remain references unless separately duplicated.</w:t>
      </w:r>
    </w:p>
    <w:p>
      <w:pPr>
        <w:keepNext/>
      </w:pPr>
      <w:r>
        <w:t>Good practice</w:t>
      </w:r>
    </w:p>
    <w:p>
      <w:pPr/>
      <w:r>
        <w:rPr>
          <w:b w:val="0"/>
          <w:i w:val="0"/>
        </w:rPr>
        <w:t>Record locks prevent accidental edits. Slider bounds and increments assist input; they do not certify that a value is valid for your material, temperature or loading regime.</w:t>
      </w:r>
    </w:p>
    <w:p>
      <w:pPr>
        <w:pStyle w:val="Heading2"/>
      </w:pPr>
      <w:r>
        <w:t>Keep sources and completion assumptions visible</w:t>
      </w:r>
    </w:p>
    <w:p>
      <w:pPr/>
      <w:r>
        <w:rPr>
          <w:b w:val="0"/>
          <w:i w:val="0"/>
        </w:rPr>
        <w:t>Material records can store a source URL, citation, status, basis and notes. Supplier-supported values and CDS engineering completion fields remain distinguishable in the same record.</w:t>
      </w:r>
    </w:p>
    <w:p>
      <w:pPr>
        <w:pStyle w:val="ListBullet"/>
      </w:pPr>
      <w:r>
        <w:rPr>
          <w:b w:val="0"/>
          <w:i w:val="0"/>
        </w:rPr>
        <w:t>Open Source and provenance above the material property groups and follow any supplier links. Multiple source links are shown separately.</w:t>
      </w:r>
      <w:r>
        <w:rPr>
          <w:b w:val="0"/>
          <w:i w:val="0"/>
        </w:rPr>
        <w:t xml:space="preserve"> </w:t>
      </w:r>
      <w:r>
        <w:rPr>
          <w:b w:val="0"/>
          <w:i w:val="0"/>
        </w:rPr>
        <w:t xml:space="preserve"> </w:t>
      </w:r>
      <w:hyperlink r:id="rId30">
        <w:r>
          <w:rPr>
            <w:color w:val="176EA4"/>
          </w:rPr>
          <w:t>See screenshot</w:t>
        </w:r>
      </w:hyperlink>
      <w:r>
        <w:t xml:space="preserve"> </w:t>
      </w:r>
    </w:p>
    <w:p>
      <w:pPr>
        <w:pStyle w:val="ListBullet"/>
      </w:pPr>
      <w:r>
        <w:rPr>
          <w:b w:val="0"/>
          <w:i w:val="0"/>
        </w:rPr>
        <w:t>Use Show zero terms when a stored zero-value property needs to be reviewed or edited. Zero does not mean unavailable; confirm its physical meaning.</w:t>
      </w:r>
      <w:r>
        <w:rPr>
          <w:b w:val="0"/>
          <w:i w:val="0"/>
        </w:rPr>
        <w:t xml:space="preserve"> </w:t>
      </w:r>
      <w:r>
        <w:rPr>
          <w:b w:val="0"/>
          <w:i w:val="0"/>
        </w:rPr>
        <w:t xml:space="preserve"> </w:t>
      </w:r>
      <w:hyperlink r:id="rId30">
        <w:r>
          <w:rPr>
            <w:color w:val="176EA4"/>
          </w:rPr>
          <w:t>See screenshot</w:t>
        </w:r>
      </w:hyperlink>
      <w:r>
        <w:t xml:space="preserve"> </w:t>
      </w:r>
    </w:p>
    <w:p>
      <w:pPr>
        <w:pStyle w:val="ListBullet"/>
      </w:pPr>
      <w:r>
        <w:rPr>
          <w:b w:val="0"/>
          <w:i w:val="0"/>
        </w:rPr>
        <w:t>Treat public supplier values, internal qualified records, representative starter values and model fallbacks as different evidence levels.</w:t>
      </w:r>
    </w:p>
    <w:p>
      <w:pPr>
        <w:pStyle w:val="ListBullet"/>
      </w:pPr>
      <w:r>
        <w:rPr>
          <w:b w:val="0"/>
          <w:i w:val="0"/>
        </w:rPr>
        <w:t>When a material lacks a required transport or strength property, enter qualified data or use an explicitly visible editable model input. Do not assume a successful solve proves the source material record was complete.</w:t>
      </w:r>
    </w:p>
    <w:p>
      <w:pPr>
        <w:keepNext/>
        <w:jc w:val="center"/>
      </w:pPr>
      <w:r>
        <w:drawing>
          <wp:inline xmlns:a="http://schemas.openxmlformats.org/drawingml/2006/main" xmlns:pic="http://schemas.openxmlformats.org/drawingml/2006/picture">
            <wp:extent cx="6217920" cy="4304354"/>
            <wp:docPr id="7" name="Picture 7" descr="Source and provenance is above the property groups. Open source follows the supporting document; Show zero terms is at the right."/>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21"/>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1, 2</w:t>
      </w:r>
      <w:r>
        <w:rPr>
          <w:b/>
          <w:i w:val="0"/>
        </w:rPr>
        <w:t xml:space="preserve"> </w:t>
      </w:r>
      <w:r>
        <w:rPr>
          <w:b/>
          <w:i w:val="0"/>
        </w:rPr>
        <w:t xml:space="preserve"> · </w:t>
      </w:r>
      <w:r>
        <w:rPr>
          <w:b w:val="0"/>
          <w:i w:val="0"/>
        </w:rPr>
        <w:t>Source and provenance is above the property groups. Open source follows the supporting document; Show zero terms is at the right.</w:t>
      </w:r>
      <w:r>
        <w:rPr>
          <w:b w:val="0"/>
          <w:i w:val="0"/>
        </w:rPr>
        <w:t xml:space="preserve"> </w:t>
      </w:r>
      <w:r>
        <w:rPr>
          <w:b w:val="0"/>
          <w:i w:val="0"/>
        </w:rPr>
        <w:t xml:space="preserve"> </w:t>
      </w:r>
      <w:hyperlink r:id="rId22">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Source metadata documents where a value came from; it does not make a typical supplier value a design allowable.</w:t>
      </w:r>
    </w:p>
    <w:p>
      <w:pPr>
        <w:pStyle w:val="Heading2"/>
      </w:pPr>
      <w:r>
        <w:t>Move and duplicate study records in groups</w:t>
      </w:r>
    </w:p>
    <w:p>
      <w:pPr/>
      <w:r>
        <w:rPr>
          <w:b w:val="0"/>
          <w:i w:val="0"/>
        </w:rPr>
        <w:t>Multi-selection applies to records throughout the master tree. This supports design-study setup without repeating the same move or duplicate command one item at a time.</w:t>
      </w:r>
    </w:p>
    <w:p>
      <w:pPr>
        <w:pStyle w:val="ListBullet"/>
      </w:pPr>
      <w:r>
        <w:rPr>
          <w:b w:val="0"/>
          <w:i w:val="0"/>
        </w:rPr>
        <w:t>Select records with Ctrl/Command-click or a contiguous range with Shift-click.</w:t>
      </w:r>
    </w:p>
    <w:p>
      <w:pPr>
        <w:pStyle w:val="ListBullet"/>
      </w:pPr>
      <w:r>
        <w:rPr>
          <w:b w:val="0"/>
          <w:i w:val="0"/>
        </w:rPr>
        <w:t>Choose Move, search for a compatible destination class, review the count and confirm the operation.</w:t>
      </w:r>
      <w:r>
        <w:rPr>
          <w:b w:val="0"/>
          <w:i w:val="0"/>
        </w:rPr>
        <w:t xml:space="preserve"> </w:t>
      </w:r>
      <w:r>
        <w:rPr>
          <w:b w:val="0"/>
          <w:i w:val="0"/>
        </w:rPr>
        <w:t xml:space="preserve"> </w:t>
      </w:r>
      <w:hyperlink r:id="rId31">
        <w:r>
          <w:rPr>
            <w:color w:val="176EA4"/>
          </w:rPr>
          <w:t>See screenshot</w:t>
        </w:r>
      </w:hyperlink>
      <w:r>
        <w:t xml:space="preserve"> </w:t>
      </w:r>
    </w:p>
    <w:p>
      <w:pPr>
        <w:pStyle w:val="ListBullet"/>
      </w:pPr>
      <w:r>
        <w:rPr>
          <w:b w:val="0"/>
          <w:i w:val="0"/>
        </w:rPr>
        <w:t>Choose Duplicate and enter the required copy count. Each copy receives its own identity.</w:t>
      </w:r>
      <w:r>
        <w:rPr>
          <w:b w:val="0"/>
          <w:i w:val="0"/>
        </w:rPr>
        <w:t xml:space="preserve"> </w:t>
      </w:r>
      <w:r>
        <w:rPr>
          <w:b w:val="0"/>
          <w:i w:val="0"/>
        </w:rPr>
        <w:t xml:space="preserve"> </w:t>
      </w:r>
      <w:hyperlink r:id="rId31">
        <w:r>
          <w:rPr>
            <w:color w:val="176EA4"/>
          </w:rPr>
          <w:t>See screenshot</w:t>
        </w:r>
      </w:hyperlink>
      <w:r>
        <w:t xml:space="preserve"> </w:t>
      </w:r>
    </w:p>
    <w:p>
      <w:pPr>
        <w:pStyle w:val="ListBullet"/>
      </w:pPr>
      <w:r>
        <w:rPr>
          <w:b w:val="0"/>
          <w:i w:val="0"/>
        </w:rPr>
        <w:t>The Optimizations branch remains visible under Simulations even when empty. Saved laminate, lamina/micro and process studies appear there for reopening and comparison.</w:t>
      </w:r>
    </w:p>
    <w:p>
      <w:pPr>
        <w:keepNext/>
        <w:jc w:val="center"/>
      </w:pPr>
      <w:r>
        <w:drawing>
          <wp:inline xmlns:a="http://schemas.openxmlformats.org/drawingml/2006/main" xmlns:pic="http://schemas.openxmlformats.org/drawingml/2006/picture">
            <wp:extent cx="6217920" cy="5545711"/>
            <wp:docPr id="8" name="Picture 8" descr="Record context menus contain Duplicate and Move commands. Confirm the selection and scope before proceeding."/>
            <wp:cNvGraphicFramePr>
              <a:graphicFrameLocks noChangeAspect="1"/>
            </wp:cNvGraphicFramePr>
            <a:graphic>
              <a:graphicData uri="http://schemas.openxmlformats.org/drawingml/2006/picture">
                <pic:pic>
                  <pic:nvPicPr>
                    <pic:cNvPr id="0" name="b91d230f0a73048d57b704049bcf17c3d04bd0f9cda647340b93d06d9a8718d7.png"/>
                    <pic:cNvPicPr/>
                  </pic:nvPicPr>
                  <pic:blipFill>
                    <a:blip r:embed="rId32"/>
                    <a:stretch>
                      <a:fillRect/>
                    </a:stretch>
                  </pic:blipFill>
                  <pic:spPr>
                    <a:xfrm>
                      <a:off x="0" y="0"/>
                      <a:ext cx="6217920" cy="5545711"/>
                    </a:xfrm>
                    <a:prstGeom prst="rect"/>
                  </pic:spPr>
                </pic:pic>
              </a:graphicData>
            </a:graphic>
          </wp:inline>
        </w:drawing>
      </w:r>
    </w:p>
    <w:p>
      <w:pPr>
        <w:pStyle w:val="Caption"/>
      </w:pPr>
      <w:r>
        <w:rPr>
          <w:b/>
          <w:i w:val="0"/>
        </w:rPr>
        <w:t xml:space="preserve">Steps </w:t>
      </w:r>
      <w:r>
        <w:rPr>
          <w:b/>
          <w:i w:val="0"/>
        </w:rPr>
        <w:t xml:space="preserve"> </w:t>
      </w:r>
      <w:r>
        <w:rPr>
          <w:b/>
          <w:i w:val="0"/>
        </w:rPr>
        <w:t>2, 3</w:t>
      </w:r>
      <w:r>
        <w:rPr>
          <w:b/>
          <w:i w:val="0"/>
        </w:rPr>
        <w:t xml:space="preserve"> </w:t>
      </w:r>
      <w:r>
        <w:rPr>
          <w:b/>
          <w:i w:val="0"/>
        </w:rPr>
        <w:t xml:space="preserve"> · </w:t>
      </w:r>
      <w:r>
        <w:rPr>
          <w:b w:val="0"/>
          <w:i w:val="0"/>
        </w:rPr>
        <w:t>Record context menus contain Duplicate and Move commands. Confirm the selection and scope before proceeding.</w:t>
      </w:r>
      <w:r>
        <w:rPr>
          <w:b w:val="0"/>
          <w:i w:val="0"/>
        </w:rPr>
        <w:t xml:space="preserve"> </w:t>
      </w:r>
      <w:r>
        <w:rPr>
          <w:b w:val="0"/>
          <w:i w:val="0"/>
        </w:rPr>
        <w:t xml:space="preserve"> </w:t>
      </w:r>
      <w:hyperlink r:id="rId33">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Moving a record does not rewrite its reference identity. Review dependent simulations after reorganizing linked inputs.</w:t>
      </w:r>
    </w:p>
    <w:p>
      <w:pPr>
        <w:pStyle w:val="Heading2"/>
      </w:pPr>
      <w:r>
        <w:t>Laminate construction and LiveStack</w:t>
      </w:r>
    </w:p>
    <w:p>
      <w:pPr/>
      <w:r>
        <w:rPr>
          <w:b w:val="0"/>
          <w:i w:val="0"/>
        </w:rPr>
        <w:t>The ply table and LiveStack share the same layup. The material and angle color modes answer different questions: which material is used, and how fibers are oriented. Presets, symmetry, balance and Double-Double actions change the layup and must be reviewed as engineering edits.</w:t>
      </w:r>
    </w:p>
    <w:p>
      <w:pPr>
        <w:pStyle w:val="ListBullet"/>
      </w:pPr>
      <w:r>
        <w:rPr>
          <w:b w:val="0"/>
          <w:i w:val="0"/>
        </w:rPr>
        <w:t>Check the ply count, total thickness and source material after a preset or fill operation.</w:t>
      </w:r>
      <w:r>
        <w:rPr>
          <w:b w:val="0"/>
          <w:i w:val="0"/>
        </w:rPr>
        <w:t xml:space="preserve"> </w:t>
      </w:r>
      <w:r>
        <w:rPr>
          <w:b w:val="0"/>
          <w:i w:val="0"/>
        </w:rPr>
        <w:t xml:space="preserve"> </w:t>
      </w:r>
      <w:hyperlink r:id="rId34">
        <w:r>
          <w:rPr>
            <w:color w:val="176EA4"/>
          </w:rPr>
          <w:t>See screenshot</w:t>
        </w:r>
      </w:hyperlink>
      <w:r>
        <w:t xml:space="preserve"> </w:t>
      </w:r>
    </w:p>
    <w:p>
      <w:pPr>
        <w:pStyle w:val="ListBullet"/>
      </w:pPr>
      <w:r>
        <w:rPr>
          <w:b w:val="0"/>
          <w:i w:val="0"/>
        </w:rPr>
        <w:t>Use the geometry-type dropdown to expose the relevant dimensions. Per-type values are retained when changing types.</w:t>
      </w:r>
    </w:p>
    <w:p>
      <w:pPr>
        <w:pStyle w:val="ListBullet"/>
      </w:pPr>
      <w:r>
        <w:rPr>
          <w:b w:val="0"/>
          <w:i w:val="0"/>
        </w:rPr>
        <w:t>Inspect laminate properties alongside ABD and inverse-ABD matrices. Off-diagonal coupling can be real; it is not automatically an error.</w:t>
      </w:r>
    </w:p>
    <w:p>
      <w:pPr>
        <w:pStyle w:val="ListBullet"/>
      </w:pPr>
      <w:r>
        <w:rPr>
          <w:b w:val="0"/>
          <w:i w:val="0"/>
        </w:rPr>
        <w:t>A hidden ply is excluded from the current visible-ply preview. Resolve hidden plies before optimization rather than silently optimizing a different stack.</w:t>
      </w:r>
      <w:r>
        <w:rPr>
          <w:b w:val="0"/>
          <w:i w:val="0"/>
        </w:rPr>
        <w:t xml:space="preserve"> </w:t>
      </w:r>
      <w:r>
        <w:rPr>
          <w:b w:val="0"/>
          <w:i w:val="0"/>
        </w:rPr>
        <w:t xml:space="preserve"> </w:t>
      </w:r>
      <w:hyperlink r:id="rId34">
        <w:r>
          <w:rPr>
            <w:color w:val="176EA4"/>
          </w:rPr>
          <w:t>See screenshot</w:t>
        </w:r>
      </w:hyperlink>
      <w:r>
        <w:t xml:space="preserve"> </w:t>
      </w:r>
    </w:p>
    <w:p>
      <w:pPr>
        <w:keepNext/>
        <w:jc w:val="center"/>
      </w:pPr>
      <w:r>
        <w:drawing>
          <wp:inline xmlns:a="http://schemas.openxmlformats.org/drawingml/2006/main" xmlns:pic="http://schemas.openxmlformats.org/drawingml/2006/picture">
            <wp:extent cx="6217920" cy="3497580"/>
            <wp:docPr id="9" name="Picture 9" descr="Ply count, material source, visibility and total thickness can be checked directly against LiveStack."/>
            <wp:cNvGraphicFramePr>
              <a:graphicFrameLocks noChangeAspect="1"/>
            </wp:cNvGraphicFramePr>
            <a:graphic>
              <a:graphicData uri="http://schemas.openxmlformats.org/drawingml/2006/picture">
                <pic:pic>
                  <pic:nvPicPr>
                    <pic:cNvPr id="0" name="b98b322234bb1808339ffb732da1d404fea2cc3b4b018147cf6bc9be08c7b09f.png"/>
                    <pic:cNvPicPr/>
                  </pic:nvPicPr>
                  <pic:blipFill>
                    <a:blip r:embed="rId25"/>
                    <a:stretch>
                      <a:fillRect/>
                    </a:stretch>
                  </pic:blipFill>
                  <pic:spPr>
                    <a:xfrm>
                      <a:off x="0" y="0"/>
                      <a:ext cx="6217920" cy="3497580"/>
                    </a:xfrm>
                    <a:prstGeom prst="rect"/>
                  </pic:spPr>
                </pic:pic>
              </a:graphicData>
            </a:graphic>
          </wp:inline>
        </w:drawing>
      </w:r>
    </w:p>
    <w:p>
      <w:pPr>
        <w:pStyle w:val="Caption"/>
      </w:pPr>
      <w:r>
        <w:rPr>
          <w:b/>
          <w:i w:val="0"/>
        </w:rPr>
        <w:t xml:space="preserve">Steps </w:t>
      </w:r>
      <w:r>
        <w:rPr>
          <w:b/>
          <w:i w:val="0"/>
        </w:rPr>
        <w:t xml:space="preserve"> </w:t>
      </w:r>
      <w:r>
        <w:rPr>
          <w:b/>
          <w:i w:val="0"/>
        </w:rPr>
        <w:t>1, 4</w:t>
      </w:r>
      <w:r>
        <w:rPr>
          <w:b/>
          <w:i w:val="0"/>
        </w:rPr>
        <w:t xml:space="preserve"> </w:t>
      </w:r>
      <w:r>
        <w:rPr>
          <w:b/>
          <w:i w:val="0"/>
        </w:rPr>
        <w:t xml:space="preserve"> · </w:t>
      </w:r>
      <w:r>
        <w:rPr>
          <w:b w:val="0"/>
          <w:i w:val="0"/>
        </w:rPr>
        <w:t>Ply count, material source, visibility and total thickness can be checked directly against LiveStack.</w:t>
      </w:r>
      <w:r>
        <w:rPr>
          <w:b w:val="0"/>
          <w:i w:val="0"/>
        </w:rPr>
        <w:t xml:space="preserve"> </w:t>
      </w:r>
      <w:r>
        <w:rPr>
          <w:b w:val="0"/>
          <w:i w:val="0"/>
        </w:rPr>
        <w:t xml:space="preserve"> </w:t>
      </w:r>
      <w:hyperlink r:id="rId2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pStyle w:val="Heading2"/>
      </w:pPr>
      <w:r>
        <w:t>Independent boundaries and shared pressure</w:t>
      </w:r>
    </w:p>
    <w:p>
      <w:pPr/>
      <w:r>
        <w:rPr>
          <w:b w:val="0"/>
          <w:i w:val="0"/>
        </w:rPr>
        <w:t>Upper and lower thermal boundary schedules can differ. Their time, temperature and boundary condition records define the applied history. Pressure shown alongside both boundary tables is a shared process load—not two independent pressures to add together.</w:t>
      </w:r>
    </w:p>
    <w:p>
      <w:pPr>
        <w:pStyle w:val="ListBullet"/>
      </w:pPr>
      <w:r>
        <w:rPr>
          <w:b w:val="0"/>
          <w:i w:val="0"/>
        </w:rPr>
        <w:t>Define ordered cycle steps and check units before using Temperature, boundary-condition or pressure fill-down.</w:t>
      </w:r>
      <w:r>
        <w:rPr>
          <w:b w:val="0"/>
          <w:i w:val="0"/>
        </w:rPr>
        <w:t xml:space="preserve"> </w:t>
      </w:r>
      <w:r>
        <w:rPr>
          <w:b w:val="0"/>
          <w:i w:val="0"/>
        </w:rPr>
        <w:t xml:space="preserve"> </w:t>
      </w:r>
      <w:hyperlink r:id="rId35">
        <w:r>
          <w:rPr>
            <w:color w:val="176EA4"/>
          </w:rPr>
          <w:t>See screenshot</w:t>
        </w:r>
      </w:hyperlink>
      <w:r>
        <w:t xml:space="preserve"> </w:t>
      </w:r>
    </w:p>
    <w:p>
      <w:pPr>
        <w:pStyle w:val="ListBullet"/>
      </w:pPr>
      <w:r>
        <w:rPr>
          <w:b w:val="0"/>
          <w:i w:val="0"/>
        </w:rPr>
        <w:t>Set the thermal or moisture analysis resolution and output interval in its input record.</w:t>
      </w:r>
      <w:r>
        <w:rPr>
          <w:b w:val="0"/>
          <w:i w:val="0"/>
        </w:rPr>
        <w:t xml:space="preserve"> </w:t>
      </w:r>
      <w:r>
        <w:rPr>
          <w:b w:val="0"/>
          <w:i w:val="0"/>
        </w:rPr>
        <w:t xml:space="preserve"> </w:t>
      </w:r>
      <w:hyperlink r:id="rId36">
        <w:r>
          <w:rPr>
            <w:color w:val="176EA4"/>
          </w:rPr>
          <w:t>See screenshot</w:t>
        </w:r>
      </w:hyperlink>
      <w:r>
        <w:t xml:space="preserve"> </w:t>
      </w:r>
    </w:p>
    <w:p>
      <w:pPr>
        <w:pStyle w:val="ListBullet"/>
      </w:pPr>
      <w:r>
        <w:rPr>
          <w:b w:val="0"/>
          <w:i w:val="0"/>
        </w:rPr>
        <w:t>Use the solver-level 2D grid. The former coarse display grid has been removed; the default 51 × 33 example reflects its time and through-thickness settings, not a universal mesh.</w:t>
      </w:r>
    </w:p>
    <w:p>
      <w:pPr>
        <w:pStyle w:val="ListBullet"/>
      </w:pPr>
      <w:r>
        <w:rPr>
          <w:b w:val="0"/>
          <w:i w:val="0"/>
        </w:rPr>
        <w:t>Inspect the 2D history with time-history and through-thickness sections alongside it. Move the cursor to examine a matching time/depth state.</w:t>
      </w:r>
    </w:p>
    <w:p>
      <w:pPr>
        <w:pStyle w:val="ListBullet"/>
      </w:pPr>
      <w:r>
        <w:rPr>
          <w:b w:val="0"/>
          <w:i w:val="0"/>
        </w:rPr>
        <w:t>Check film coefficients, initial conditions and any missing heat-of-reaction or kinetic-model messages before interpreting residual stress.</w:t>
      </w:r>
    </w:p>
    <w:p>
      <w:pPr>
        <w:keepNext w:val="0"/>
        <w:jc w:val="center"/>
      </w:pPr>
      <w:r>
        <w:drawing>
          <wp:inline xmlns:a="http://schemas.openxmlformats.org/drawingml/2006/main" xmlns:pic="http://schemas.openxmlformats.org/drawingml/2006/picture">
            <wp:extent cx="6217920" cy="2573642"/>
            <wp:docPr id="10" name="Picture 10" descr="Upper and lower schedules have separate tabs; pressure is shared."/>
            <wp:cNvGraphicFramePr>
              <a:graphicFrameLocks noChangeAspect="1"/>
            </wp:cNvGraphicFramePr>
            <a:graphic>
              <a:graphicData uri="http://schemas.openxmlformats.org/drawingml/2006/picture">
                <pic:pic>
                  <pic:nvPicPr>
                    <pic:cNvPr id="0" name="2e1317e4d9227ab8250a4f9001f954569919ab19756b31f49db3855f2406db9d.png"/>
                    <pic:cNvPicPr/>
                  </pic:nvPicPr>
                  <pic:blipFill>
                    <a:blip r:embed="rId37"/>
                    <a:stretch>
                      <a:fillRect/>
                    </a:stretch>
                  </pic:blipFill>
                  <pic:spPr>
                    <a:xfrm>
                      <a:off x="0" y="0"/>
                      <a:ext cx="6217920" cy="2573642"/>
                    </a:xfrm>
                    <a:prstGeom prst="rect"/>
                  </pic:spPr>
                </pic:pic>
              </a:graphicData>
            </a:graphic>
          </wp:inline>
        </w:drawing>
      </w:r>
    </w:p>
    <w:p>
      <w:pPr>
        <w:pStyle w:val="Caption"/>
      </w:pPr>
      <w:r>
        <w:rPr>
          <w:b/>
          <w:i w:val="0"/>
        </w:rPr>
        <w:t xml:space="preserve">Steps </w:t>
      </w:r>
      <w:r>
        <w:rPr>
          <w:b/>
          <w:i w:val="0"/>
        </w:rPr>
        <w:t xml:space="preserve"> </w:t>
      </w:r>
      <w:r>
        <w:rPr>
          <w:b/>
          <w:i w:val="0"/>
        </w:rPr>
        <w:t>1</w:t>
      </w:r>
      <w:r>
        <w:rPr>
          <w:b/>
          <w:i w:val="0"/>
        </w:rPr>
        <w:t xml:space="preserve"> </w:t>
      </w:r>
      <w:r>
        <w:rPr>
          <w:b/>
          <w:i w:val="0"/>
        </w:rPr>
        <w:t xml:space="preserve"> · </w:t>
      </w:r>
      <w:r>
        <w:rPr>
          <w:b w:val="0"/>
          <w:i w:val="0"/>
        </w:rPr>
        <w:t>Upper and lower schedules have separate tabs; pressure is shared.</w:t>
      </w:r>
      <w:r>
        <w:rPr>
          <w:b w:val="0"/>
          <w:i w:val="0"/>
        </w:rPr>
        <w:t xml:space="preserve"> </w:t>
      </w:r>
      <w:r>
        <w:rPr>
          <w:b w:val="0"/>
          <w:i w:val="0"/>
        </w:rPr>
        <w:t xml:space="preserve"> </w:t>
      </w:r>
      <w:hyperlink r:id="rId38">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jc w:val="center"/>
      </w:pPr>
      <w:r>
        <w:drawing>
          <wp:inline xmlns:a="http://schemas.openxmlformats.org/drawingml/2006/main" xmlns:pic="http://schemas.openxmlformats.org/drawingml/2006/picture">
            <wp:extent cx="6217920" cy="4897347"/>
            <wp:docPr id="11" name="Picture 11" descr="Thermal case inputs expose initial temperature, output interval, through-thickness nodes and film coefficients."/>
            <wp:cNvGraphicFramePr>
              <a:graphicFrameLocks noChangeAspect="1"/>
            </wp:cNvGraphicFramePr>
            <a:graphic>
              <a:graphicData uri="http://schemas.openxmlformats.org/drawingml/2006/picture">
                <pic:pic>
                  <pic:nvPicPr>
                    <pic:cNvPr id="0" name="04e44f227ca8e06c4a70ec7bbc8e95de25adfb4dffda82420ed4d03a93a4a3df.png"/>
                    <pic:cNvPicPr/>
                  </pic:nvPicPr>
                  <pic:blipFill>
                    <a:blip r:embed="rId39"/>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2</w:t>
      </w:r>
      <w:r>
        <w:rPr>
          <w:b/>
          <w:i w:val="0"/>
        </w:rPr>
        <w:t xml:space="preserve"> </w:t>
      </w:r>
      <w:r>
        <w:rPr>
          <w:b/>
          <w:i w:val="0"/>
        </w:rPr>
        <w:t xml:space="preserve"> · </w:t>
      </w:r>
      <w:r>
        <w:rPr>
          <w:b w:val="0"/>
          <w:i w:val="0"/>
        </w:rPr>
        <w:t>Thermal case inputs expose initial temperature, output interval, through-thickness nodes and film coefficients.</w:t>
      </w:r>
      <w:r>
        <w:rPr>
          <w:b w:val="0"/>
          <w:i w:val="0"/>
        </w:rPr>
        <w:t xml:space="preserve"> </w:t>
      </w:r>
      <w:r>
        <w:rPr>
          <w:b w:val="0"/>
          <w:i w:val="0"/>
        </w:rPr>
        <w:t xml:space="preserve"> </w:t>
      </w:r>
      <w:hyperlink r:id="rId4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The field view is a one-dimensional through-thickness solution plotted against time. A colorful 2D history is not a two-dimensional spatial finite-element mesh.</w:t>
      </w:r>
    </w:p>
    <w:p>
      <w:pPr>
        <w:pStyle w:val="Heading2"/>
      </w:pPr>
      <w:r>
        <w:t>Compare preserve and reopen evidence</w:t>
      </w:r>
    </w:p>
    <w:p>
      <w:pPr/>
      <w:r>
        <w:rPr>
          <w:b w:val="0"/>
          <w:i w:val="0"/>
        </w:rPr>
        <w:t>Materials and saved optimization cases offer a comparison table and Ashby, bar and line plots. Axes, units, filtering, markers and bounds control what is shown; they do not change the source calculations.</w:t>
      </w:r>
    </w:p>
    <w:p>
      <w:pPr>
        <w:pStyle w:val="ListBullet"/>
      </w:pPr>
      <w:r>
        <w:rPr>
          <w:b w:val="0"/>
          <w:i w:val="0"/>
        </w:rPr>
        <w:t>Choose comparable properties and compatible units before comparing records.</w:t>
      </w:r>
    </w:p>
    <w:p>
      <w:pPr>
        <w:pStyle w:val="ListBullet"/>
      </w:pPr>
      <w:r>
        <w:rPr>
          <w:b w:val="0"/>
          <w:i w:val="0"/>
        </w:rPr>
        <w:t>Use plot bounds and axis locks deliberately; a locked axis can hide an out-of-range point.</w:t>
      </w:r>
    </w:p>
    <w:p>
      <w:pPr>
        <w:pStyle w:val="ListBullet"/>
      </w:pPr>
      <w:r>
        <w:rPr>
          <w:b w:val="0"/>
          <w:i w:val="0"/>
        </w:rPr>
        <w:t>Save a record, subtree or workspace as CDS_DB for portability. Keep the dependent material, model, laminate, geometry and case records.</w:t>
      </w:r>
    </w:p>
    <w:p>
      <w:pPr>
        <w:pStyle w:val="ListBullet"/>
      </w:pPr>
      <w:r>
        <w:rPr>
          <w:b w:val="0"/>
          <w:i w:val="0"/>
        </w:rPr>
        <w:t>Save optimization results with Save snapshot beside the structural-case selector. Open saved cases from the permanent Optimizations tree entry below Simulations.</w:t>
      </w:r>
    </w:p>
    <w:p>
      <w:pPr>
        <w:pStyle w:val="ListBullet"/>
      </w:pPr>
      <w:r>
        <w:rPr>
          <w:b w:val="0"/>
          <w:i w:val="0"/>
        </w:rPr>
        <w:t>Select multiple optimization snapshots to compare them. A saved case is read-only evidence of its saved inputs, not a fresh solve against current materials.</w:t>
      </w:r>
    </w:p>
    <w:p>
      <w:pPr>
        <w:keepNext/>
      </w:pPr>
      <w:r>
        <w:t>Good practice</w:t>
      </w:r>
    </w:p>
    <w:p>
      <w:pPr/>
      <w:r>
        <w:rPr>
          <w:b w:val="0"/>
          <w:i w:val="0"/>
        </w:rPr>
        <w:t>Saving an optimization snapshot, saving a material, and running a simulation are separate actions. Keep all required artifacts for a reproducible review.</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3" w:name="chapter_3"/>
      <w:pPr>
        <w:pStyle w:val="Heading1"/>
        <w:pageBreakBefore/>
      </w:pPr>
      <w:r>
        <w:t>3 Explore capacity and trade-offs without losing the assumptions</w:t>
      </w:r>
      <w:bookmarkEnd w:id="3"/>
    </w:p>
    <w:p>
      <w:pPr>
        <w:pStyle w:val="Caption"/>
      </w:pPr>
      <w:hyperlink r:id="rId14">
        <w:r>
          <w:rPr>
            <w:color w:val="176EA4"/>
          </w:rPr>
          <w:t>Online chapter</w:t>
        </w:r>
      </w:hyperlink>
      <w:r>
        <w:t xml:space="preserve"> </w:t>
      </w:r>
    </w:p>
    <w:p>
      <w:pPr/>
      <w:r>
        <w:rPr>
          <w:b w:val="0"/>
          <w:i w:val="0"/>
        </w:rPr>
        <w:t>Practical operation of Response, failure envelopes, progressive failure, 2D/3D carpet plots, lamina/micro studies, laminate searches and saved optimization evidence.</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hyperlink r:id="rId41">
        <w:r>
          <w:rPr>
            <w:color w:val="176EA4"/>
          </w:rPr>
          <w:t>Read the WB equations and limitations →</w:t>
        </w:r>
      </w:hyperlink>
      <w:r>
        <w:t xml:space="preserve"> </w:t>
      </w:r>
    </w:p>
    <w:p>
      <w:r>
        <w:t>Trace the selected input path</w:t>
      </w:r>
    </w:p>
    <w:p>
      <w:r>
        <w:t>Ply property source</w:t>
      </w:r>
    </w:p>
    <w:p>
      <w:r>
        <w:t>Include thermal analysis</w:t>
      </w:r>
    </w:p>
    <w:p>
      <w:r>
        <w:t>Include moisture analysis</w:t>
      </w:r>
    </w:p>
    <w:p>
      <w:r>
        <w:t>Include optional fatigue assessment</w:t>
      </w:r>
    </w:p>
    <w:p>
      <w:pPr/>
      <w:r>
        <w:rPr>
          <w:b w:val="0"/>
          <w:i w:val="0"/>
        </w:rPr>
        <w:t>Stored ply properties bypass Micro. Mixed stacks keep both paths. Gray blocks are not selected. Geometry, process schedules and other model records are omitted here for clarity; a real run must include all required references.</w:t>
      </w:r>
    </w:p>
    <w:p>
      <w:pPr/>
      <w:r>
        <w:rPr>
          <w:b w:val="0"/>
          <w:i w:val="0"/>
        </w:rPr>
        <w:t>Fatigue uses intact CLT endpoint stresses and measured S–N calibration. It is evaluated separately from Run and progressive failure. The dashed handoff is not active: optimization still uses current properties until a degradation law is supplied.</w:t>
      </w:r>
    </w:p>
    <w:p>
      <w:pPr>
        <w:keepNext w:val="0"/>
        <w:jc w:val="center"/>
      </w:pPr>
      <w:r>
        <w:drawing>
          <wp:inline xmlns:a="http://schemas.openxmlformats.org/drawingml/2006/main" xmlns:pic="http://schemas.openxmlformats.org/drawingml/2006/picture">
            <wp:extent cx="6217920" cy="1935767"/>
            <wp:docPr id="12" name="Picture 12" descr="CDS workflow or model illustration"/>
            <wp:cNvGraphicFramePr>
              <a:graphicFrameLocks noChangeAspect="1"/>
            </wp:cNvGraphicFramePr>
            <a:graphic>
              <a:graphicData uri="http://schemas.openxmlformats.org/drawingml/2006/picture">
                <pic:pic>
                  <pic:nvPicPr>
                    <pic:cNvPr id="0" name="rsvg-615023cf647a6b49632caca708c0ff60ff2cc31c35130238cbb49066f80dac56.png"/>
                    <pic:cNvPicPr/>
                  </pic:nvPicPr>
                  <pic:blipFill>
                    <a:blip r:embed="rId15"/>
                    <a:stretch>
                      <a:fillRect/>
                    </a:stretch>
                  </pic:blipFill>
                  <pic:spPr>
                    <a:xfrm>
                      <a:off x="0" y="0"/>
                      <a:ext cx="6217920" cy="1935767"/>
                    </a:xfrm>
                    <a:prstGeom prst="rect"/>
                  </pic:spPr>
                </pic:pic>
              </a:graphicData>
            </a:graphic>
          </wp:inline>
        </w:drawing>
      </w:r>
    </w:p>
    <w:p>
      <w:pPr/>
      <w:r>
        <w:rPr>
          <w:b w:val="0"/>
          <w:i w:val="0"/>
        </w:rPr>
        <w:t>Materials → Micro → Laminate.</w:t>
      </w:r>
    </w:p>
    <w:p>
      <w:pPr/>
      <w:hyperlink r:id="rId16">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Explore a failure step and explain a hotspot</w:t>
      </w:r>
    </w:p>
    <w:p>
      <w:pPr/>
      <w:r>
        <w:rPr>
          <w:b w:val="0"/>
          <w:i w:val="0"/>
        </w:rPr>
        <w:t>The slider above the progressive 2D plot is connected to its cursor. Drag either to inspect a saved step; the arrow controls jump between activations. The depth selector sits with the other plot controls.</w:t>
      </w:r>
    </w:p>
    <w:p>
      <w:pPr>
        <w:pStyle w:val="ListBullet"/>
      </w:pPr>
      <w:r>
        <w:rPr>
          <w:b w:val="0"/>
          <w:i w:val="0"/>
        </w:rPr>
        <w:t>Select the step and ply, then expand Explain selected hotspot for its criterion, mode, local stress and theory link.</w:t>
      </w:r>
    </w:p>
    <w:p>
      <w:pPr>
        <w:pStyle w:val="ListBullet"/>
      </w:pPr>
      <w:r>
        <w:rPr>
          <w:b w:val="0"/>
          <w:i w:val="0"/>
        </w:rPr>
        <w:t>Use the vertical Fiber, Matrix and Shear strip: gray means not activated, color means activated, and a gold outline marks a new activation at this step. Select a strip segment to inspect that ply.</w:t>
      </w:r>
    </w:p>
    <w:p>
      <w:pPr>
        <w:pStyle w:val="ListBullet"/>
      </w:pPr>
      <w:r>
        <w:rPr>
          <w:b w:val="0"/>
          <w:i w:val="0"/>
        </w:rPr>
        <w:t>Use the output expand control for more space and restore Split when returning to input editing.</w:t>
      </w:r>
    </w:p>
    <w:p>
      <w:pPr>
        <w:keepNext/>
      </w:pPr>
      <w:r>
        <w:t>Good practice</w:t>
      </w:r>
    </w:p>
    <w:p>
      <w:pPr/>
      <w:r>
        <w:rPr>
          <w:b w:val="0"/>
          <w:i w:val="0"/>
        </w:rPr>
        <w:t>A governing mode at a sampled point is not proof of a new failure. Counts are plies with activations, not percentage strength loss. The CLT plot does not establish a delamination event.</w:t>
      </w:r>
    </w:p>
    <w:p>
      <w:pPr>
        <w:pStyle w:val="Heading2"/>
      </w:pPr>
      <w:r>
        <w:t>Include delamination in progressive steps</w:t>
      </w:r>
    </w:p>
    <w:p>
      <w:pPr/>
      <w:r>
        <w:rPr>
          <w:b w:val="0"/>
          <w:i w:val="0"/>
        </w:rPr>
        <w:t>The ordinary CLT progressive ramp degrades plies; it does not separate their interfaces. For supported coupled growth, choose Layerwise x-z plane strain and set Delamination model to Coupled growth.</w:t>
      </w:r>
    </w:p>
    <w:p>
      <w:pPr>
        <w:pStyle w:val="ListBullet"/>
      </w:pPr>
      <w:r>
        <w:rPr>
          <w:b w:val="0"/>
          <w:i w:val="0"/>
        </w:rPr>
        <w:t>Link finite Plate geometry and a laminate with complete 3D stiffness.</w:t>
      </w:r>
    </w:p>
    <w:p>
      <w:pPr>
        <w:pStyle w:val="ListBullet"/>
      </w:pPr>
      <w:r>
        <w:rPr>
          <w:b w:val="0"/>
          <w:i w:val="0"/>
        </w:rPr>
        <w:t>Supply calibrated interface stiffness, normal/shear strengths, fracture energies and BK exponent, plus ply strengths and load-step controls. No interface properties are inferred from a laminate name.</w:t>
      </w:r>
    </w:p>
    <w:p>
      <w:pPr>
        <w:pStyle w:val="ListBullet"/>
      </w:pPr>
      <w:r>
        <w:rPr>
          <w:b w:val="0"/>
          <w:i w:val="0"/>
        </w:rPr>
        <w:t>Run the linked simulation, then open Response → Progressive failure · plies + delamination.</w:t>
      </w:r>
    </w:p>
    <w:p>
      <w:pPr>
        <w:pStyle w:val="ListBullet"/>
      </w:pPr>
      <w:r>
        <w:rPr>
          <w:b w:val="0"/>
          <w:i w:val="0"/>
        </w:rPr>
        <w:t>Check mesh and step convergence and compare with the connected simulation-20 exercise and cohesive theory.</w:t>
      </w:r>
    </w:p>
    <w:p>
      <w:pPr>
        <w:keepNext/>
      </w:pPr>
      <w:r>
        <w:t>Good practice</w:t>
      </w:r>
    </w:p>
    <w:p>
      <w:pPr/>
      <w:r>
        <w:rPr>
          <w:b w:val="0"/>
          <w:i w:val="0"/>
        </w:rPr>
        <w:t>Mechanical-only, small-strain x–z section. This is not a general 3D, cylinder or thermal-residual delamination prediction; completion is not a design pass.</w:t>
      </w:r>
    </w:p>
    <w:p>
      <w:pPr>
        <w:pStyle w:val="Heading2"/>
      </w:pPr>
      <w:r>
        <w:t>Optimization cases Micro Process and Laminate</w:t>
      </w:r>
    </w:p>
    <w:p>
      <w:pPr/>
      <w:r>
        <w:rPr>
          <w:b w:val="0"/>
          <w:i w:val="0"/>
        </w:rPr>
        <w:t>Optimizations contains Micro, Process and Laminate subfolders. New saved cases retain the numerical study, all search variables and constraints, and a frozen archive of linked source records and process boundary schedules. Older snapshots remain readable but cannot recover source records that were never saved.</w:t>
      </w:r>
    </w:p>
    <w:p>
      <w:pPr>
        <w:pStyle w:val="ListBullet"/>
      </w:pPr>
      <w:r>
        <w:rPr>
          <w:b w:val="0"/>
          <w:i w:val="0"/>
        </w:rPr>
        <w:t>Configure and run the selected optimizer, name the case and choose Save snapshot. The case is added to its mode folder and downloaded as a CDS_DB. Save the workspace as well to retain all cases together.</w:t>
      </w:r>
    </w:p>
    <w:p>
      <w:pPr>
        <w:pStyle w:val="ListBullet"/>
      </w:pPr>
      <w:r>
        <w:rPr>
          <w:b w:val="0"/>
          <w:i w:val="0"/>
        </w:rPr>
        <w:t>Reopen the case and expand All saved optimization inputs. Inspect search variables, objectives and constraints; effective solver properties and loads; linked material, model, laminate, geometry and case records where used; and saved process schedules.</w:t>
      </w:r>
    </w:p>
    <w:p>
      <w:pPr>
        <w:pStyle w:val="ListBullet"/>
      </w:pPr>
      <w:r>
        <w:rPr>
          <w:b w:val="0"/>
          <w:i w:val="0"/>
        </w:rPr>
        <w:t>The archived source records document the database at save time. Effective solver inputs separately preserve selected overrides and the values actually supplied to the optimizer. These two views need not be identical.</w:t>
      </w:r>
    </w:p>
    <w:p>
      <w:pPr>
        <w:pStyle w:val="ListBullet"/>
      </w:pPr>
      <w:r>
        <w:rPr>
          <w:b w:val="0"/>
          <w:i w:val="0"/>
        </w:rPr>
        <w:t>Use the shared exercise tree and search for optimization: Micro stiffness, voids and density; Laminate minimum mass under axial loading; Process cycle time and thermal uniformity. The same exercise IDs and instructions appear in Workbench Training, this manual and licensed CDS_DB downloads.</w:t>
      </w:r>
    </w:p>
    <w:p>
      <w:pPr>
        <w:keepNext/>
      </w:pPr>
      <w:r>
        <w:t>Good practice</w:t>
      </w:r>
    </w:p>
    <w:p>
      <w:pPr/>
      <w:r>
        <w:rPr>
          <w:b w:val="0"/>
          <w:i w:val="0"/>
        </w:rPr>
        <w:t>These are guided design studies, not prevalidated optima. Configure the documented search and generate results yourself. Frozen cases do not change when the live database changes; start a new optimization to evaluate revised inputs.</w:t>
      </w:r>
    </w:p>
    <w:p>
      <w:pPr>
        <w:pStyle w:val="Heading2"/>
      </w:pPr>
      <w:r>
        <w:t>Start from a checked structural case</w:t>
      </w:r>
    </w:p>
    <w:p>
      <w:pPr/>
      <w:r>
        <w:rPr>
          <w:b w:val="0"/>
          <w:i w:val="0"/>
        </w:rPr>
        <w:t>Select the structural load case and verify its linked laminate. Failure and optimization need elastic ply properties and compatible strength allowables, not just a plausible-looking layup.</w:t>
      </w:r>
    </w:p>
    <w:p>
      <w:pPr>
        <w:pStyle w:val="ListBullet"/>
      </w:pPr>
      <w:r>
        <w:rPr>
          <w:b w:val="0"/>
          <w:i w:val="0"/>
        </w:rPr>
        <w:t>In Input: CASES, review Loads and Failure. Select which Nx, Ny, Nxy, Mx, My and Mxy components ramp; the same load selection is reflected in the diagram and failure controls.</w:t>
      </w:r>
    </w:p>
    <w:p>
      <w:pPr>
        <w:pStyle w:val="ListBullet"/>
      </w:pPr>
      <w:r>
        <w:rPr>
          <w:b w:val="0"/>
          <w:i w:val="0"/>
        </w:rPr>
        <w:t>Check the actual numbers and signs. The WB optimizer shows membrane resultants in N/mm and moments in N; a source record in N/m is converted for this calculation.</w:t>
      </w:r>
    </w:p>
    <w:p>
      <w:pPr>
        <w:pStyle w:val="ListBullet"/>
      </w:pPr>
      <w:r>
        <w:rPr>
          <w:b w:val="0"/>
          <w:i w:val="0"/>
        </w:rPr>
        <w:t>Do not treat pressure, point force or torque labels as an automatic replacement for membrane/bending resultants. Resolve the load case into the quantities required by the selected analysis.</w:t>
      </w:r>
    </w:p>
    <w:p>
      <w:pPr>
        <w:pStyle w:val="ListBullet"/>
      </w:pPr>
      <w:r>
        <w:rPr>
          <w:b w:val="0"/>
          <w:i w:val="0"/>
        </w:rPr>
        <w:t>Review missing-input diagnostics and the ply strength table. Unsupported or incomplete theories must not be interpreted as zero failure index.</w:t>
      </w:r>
    </w:p>
    <w:p>
      <w:pPr>
        <w:pStyle w:val="Heading2"/>
      </w:pPr>
      <w:r>
        <w:t>Read stress and strain before failure</w:t>
      </w:r>
    </w:p>
    <w:p>
      <w:pPr/>
      <w:r>
        <w:rPr>
          <w:b w:val="0"/>
          <w:i w:val="0"/>
        </w:rPr>
        <w:t>Response gives through-thickness stress and strain in selected components and coordinates. Compare like contributions at the same process time.</w:t>
      </w:r>
    </w:p>
    <w:p>
      <w:pPr>
        <w:pStyle w:val="ListBullet"/>
      </w:pPr>
      <w:r>
        <w:rPr>
          <w:b w:val="0"/>
          <w:i w:val="0"/>
        </w:rPr>
        <w:t>Choose response source, global or local axes, components and scale.</w:t>
      </w:r>
      <w:r>
        <w:rPr>
          <w:b w:val="0"/>
          <w:i w:val="0"/>
        </w:rPr>
        <w:t xml:space="preserve"> </w:t>
      </w:r>
      <w:r>
        <w:rPr>
          <w:b w:val="0"/>
          <w:i w:val="0"/>
        </w:rPr>
        <w:t xml:space="preserve"> </w:t>
      </w:r>
      <w:hyperlink r:id="rId42">
        <w:r>
          <w:rPr>
            <w:color w:val="176EA4"/>
          </w:rPr>
          <w:t>See screenshot</w:t>
        </w:r>
      </w:hyperlink>
      <w:r>
        <w:t xml:space="preserve"> </w:t>
      </w:r>
    </w:p>
    <w:p>
      <w:pPr>
        <w:pStyle w:val="ListBullet"/>
      </w:pPr>
      <w:r>
        <w:rPr>
          <w:b w:val="0"/>
          <w:i w:val="0"/>
        </w:rPr>
        <w:t>Select thickness from bottom or the available alternate depth coordinate. Inspect ply interfaces and angle labels.</w:t>
      </w:r>
      <w:r>
        <w:rPr>
          <w:b w:val="0"/>
          <w:i w:val="0"/>
        </w:rPr>
        <w:t xml:space="preserve"> </w:t>
      </w:r>
      <w:r>
        <w:rPr>
          <w:b w:val="0"/>
          <w:i w:val="0"/>
        </w:rPr>
        <w:t xml:space="preserve"> </w:t>
      </w:r>
      <w:hyperlink r:id="rId42">
        <w:r>
          <w:rPr>
            <w:color w:val="176EA4"/>
          </w:rPr>
          <w:t>See screenshot</w:t>
        </w:r>
      </w:hyperlink>
      <w:r>
        <w:t xml:space="preserve"> </w:t>
      </w:r>
    </w:p>
    <w:p>
      <w:pPr>
        <w:pStyle w:val="ListBullet"/>
      </w:pPr>
      <w:r>
        <w:rPr>
          <w:b w:val="0"/>
          <w:i w:val="0"/>
        </w:rPr>
        <w:t>Increase recovery nodes per ply in Settings when more sampling is useful, then check that the result source is still appropriate.</w:t>
      </w:r>
    </w:p>
    <w:p>
      <w:pPr>
        <w:pStyle w:val="ListBullet"/>
      </w:pPr>
      <w:r>
        <w:rPr>
          <w:b w:val="0"/>
          <w:i w:val="0"/>
        </w:rPr>
        <w:t>Use the resizable output region and axis locks to inspect the complete plot.</w:t>
      </w:r>
      <w:r>
        <w:rPr>
          <w:b w:val="0"/>
          <w:i w:val="0"/>
        </w:rPr>
        <w:t xml:space="preserve"> </w:t>
      </w:r>
      <w:r>
        <w:rPr>
          <w:b w:val="0"/>
          <w:i w:val="0"/>
        </w:rPr>
        <w:t xml:space="preserve"> </w:t>
      </w:r>
      <w:hyperlink r:id="rId42">
        <w:r>
          <w:rPr>
            <w:color w:val="176EA4"/>
          </w:rPr>
          <w:t>See screenshot</w:t>
        </w:r>
      </w:hyperlink>
      <w:r>
        <w:t xml:space="preserve"> </w:t>
      </w:r>
    </w:p>
    <w:p>
      <w:pPr>
        <w:keepNext/>
        <w:jc w:val="center"/>
      </w:pPr>
      <w:r>
        <w:drawing>
          <wp:inline xmlns:a="http://schemas.openxmlformats.org/drawingml/2006/main" xmlns:pic="http://schemas.openxmlformats.org/drawingml/2006/picture">
            <wp:extent cx="6217920" cy="3280536"/>
            <wp:docPr id="13" name="Picture 13" descr="Select the response contribution, axes, components and scale above the plot; depth coordinates and axis locks control inspection."/>
            <wp:cNvGraphicFramePr>
              <a:graphicFrameLocks noChangeAspect="1"/>
            </wp:cNvGraphicFramePr>
            <a:graphic>
              <a:graphicData uri="http://schemas.openxmlformats.org/drawingml/2006/picture">
                <pic:pic>
                  <pic:nvPicPr>
                    <pic:cNvPr id="0" name="a1b1be52e2e1f1d25b2849d31ef8156d569ac976354edb1ec155b88e906a88ba.png"/>
                    <pic:cNvPicPr/>
                  </pic:nvPicPr>
                  <pic:blipFill>
                    <a:blip r:embed="rId43"/>
                    <a:stretch>
                      <a:fillRect/>
                    </a:stretch>
                  </pic:blipFill>
                  <pic:spPr>
                    <a:xfrm>
                      <a:off x="0" y="0"/>
                      <a:ext cx="6217920" cy="3280536"/>
                    </a:xfrm>
                    <a:prstGeom prst="rect"/>
                  </pic:spPr>
                </pic:pic>
              </a:graphicData>
            </a:graphic>
          </wp:inline>
        </w:drawing>
      </w:r>
    </w:p>
    <w:p>
      <w:pPr>
        <w:pStyle w:val="Caption"/>
      </w:pPr>
      <w:r>
        <w:rPr>
          <w:b/>
          <w:i w:val="0"/>
        </w:rPr>
        <w:t xml:space="preserve">Steps </w:t>
      </w:r>
      <w:r>
        <w:rPr>
          <w:b/>
          <w:i w:val="0"/>
        </w:rPr>
        <w:t xml:space="preserve"> </w:t>
      </w:r>
      <w:r>
        <w:rPr>
          <w:b/>
          <w:i w:val="0"/>
        </w:rPr>
        <w:t>1, 2, 4</w:t>
      </w:r>
      <w:r>
        <w:rPr>
          <w:b/>
          <w:i w:val="0"/>
        </w:rPr>
        <w:t xml:space="preserve"> </w:t>
      </w:r>
      <w:r>
        <w:rPr>
          <w:b/>
          <w:i w:val="0"/>
        </w:rPr>
        <w:t xml:space="preserve"> · </w:t>
      </w:r>
      <w:r>
        <w:rPr>
          <w:b w:val="0"/>
          <w:i w:val="0"/>
        </w:rPr>
        <w:t>Select the response contribution, axes, components and scale above the plot; depth coordinates and axis locks control inspection.</w:t>
      </w:r>
      <w:r>
        <w:rPr>
          <w:b w:val="0"/>
          <w:i w:val="0"/>
        </w:rPr>
        <w:t xml:space="preserve"> </w:t>
      </w:r>
      <w:r>
        <w:rPr>
          <w:b w:val="0"/>
          <w:i w:val="0"/>
        </w:rPr>
        <w:t xml:space="preserve"> </w:t>
      </w:r>
      <w:hyperlink r:id="rId44">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Elastic stress is not a failure prediction. A high stress must be evaluated against the correct ply direction, sign and material allowable.</w:t>
      </w:r>
    </w:p>
    <w:p>
      <w:pPr>
        <w:pStyle w:val="Heading2"/>
      </w:pPr>
      <w:r>
        <w:t>Build and interpret a failure envelope</w:t>
      </w:r>
    </w:p>
    <w:p>
      <w:pPr/>
      <w:r>
        <w:rPr>
          <w:b w:val="0"/>
          <w:i w:val="0"/>
        </w:rPr>
        <w:t>An envelope traces first-failure capacity in a selected pair of load components. Each ray is evaluated with the selected material criterion and laminate response; the displayed curve joins sampled directions.</w:t>
      </w:r>
    </w:p>
    <w:p>
      <w:pPr>
        <w:pStyle w:val="ListBullet"/>
      </w:pPr>
      <w:r>
        <w:rPr>
          <w:b w:val="0"/>
          <w:i w:val="0"/>
        </w:rPr>
        <w:t>Choose the envelope axes, supported theories and the fixed/background load state in Failure inputs.</w:t>
      </w:r>
    </w:p>
    <w:p>
      <w:pPr>
        <w:pStyle w:val="ListBullet"/>
      </w:pPr>
      <w:r>
        <w:rPr>
          <w:b w:val="0"/>
          <w:i w:val="0"/>
        </w:rPr>
        <w:t>Generate or update the envelope; inspect the completion/evaluation status and units.</w:t>
      </w:r>
    </w:p>
    <w:p>
      <w:pPr>
        <w:pStyle w:val="ListBullet"/>
      </w:pPr>
      <w:r>
        <w:rPr>
          <w:b w:val="0"/>
          <w:i w:val="0"/>
        </w:rPr>
        <w:t>Right-click the envelope plot to show markers when you need to see the calculated samples.</w:t>
      </w:r>
    </w:p>
    <w:p>
      <w:pPr>
        <w:pStyle w:val="ListBullet"/>
      </w:pPr>
      <w:r>
        <w:rPr>
          <w:b w:val="0"/>
          <w:i w:val="0"/>
        </w:rPr>
        <w:t>Compare criteria only when each has valid material data. A curve farther from the origin is not proof that its theory is more accurate.</w:t>
      </w:r>
    </w:p>
    <w:p>
      <w:pPr>
        <w:keepNext/>
      </w:pPr>
      <w:r>
        <w:t>Good practice</w:t>
      </w:r>
    </w:p>
    <w:p>
      <w:pPr/>
      <w:r>
        <w:rPr>
          <w:b w:val="0"/>
          <w:i w:val="0"/>
        </w:rPr>
        <w:t>Ray spacing, numerical search limits and fixed loads influence the plot. Do not extrapolate the polygon or treat the interior as a certified safe operating region.</w:t>
      </w:r>
    </w:p>
    <w:p>
      <w:pPr>
        <w:pStyle w:val="Heading2"/>
      </w:pPr>
      <w:r>
        <w:t>Follow progressive failure</w:t>
      </w:r>
    </w:p>
    <w:p>
      <w:pPr/>
      <w:r>
        <w:rPr>
          <w:b w:val="0"/>
          <w:i w:val="0"/>
        </w:rPr>
        <w:t>Progressive analysis ramps the selected loads, evaluates ply criteria and updates damage/stiffness according to the chosen method. First-ply failure and last-ply/terminal response answer different questions.</w:t>
      </w:r>
    </w:p>
    <w:p>
      <w:pPr>
        <w:pStyle w:val="ListBullet"/>
      </w:pPr>
      <w:r>
        <w:rPr>
          <w:b w:val="0"/>
          <w:i w:val="0"/>
        </w:rPr>
        <w:t>Set criterion, ramp, step count, search limit and stopping rule in the Failure inputs.</w:t>
      </w:r>
    </w:p>
    <w:p>
      <w:pPr>
        <w:pStyle w:val="ListBullet"/>
      </w:pPr>
      <w:r>
        <w:rPr>
          <w:b w:val="0"/>
          <w:i w:val="0"/>
        </w:rPr>
        <w:t>Choose whether saved thermal/cure effects, cure shrinkage and moisture expansion are reused; rerun the relevant solver after changing those inputs.</w:t>
      </w:r>
    </w:p>
    <w:p>
      <w:pPr>
        <w:pStyle w:val="ListBullet"/>
      </w:pPr>
      <w:r>
        <w:rPr>
          <w:b w:val="0"/>
          <w:i w:val="0"/>
        </w:rPr>
        <w:t>Read first activations, damaged plies, load factor and retained stiffness together.</w:t>
      </w:r>
    </w:p>
    <w:p>
      <w:pPr>
        <w:pStyle w:val="ListBullet"/>
      </w:pPr>
      <w:r>
        <w:rPr>
          <w:b w:val="0"/>
          <w:i w:val="0"/>
        </w:rPr>
        <w:t>Use the selected event, ply and pseudo-time controls to inspect the corresponding response. Pseudo-time in the proportional ramp is the load multiplier, not seconds.</w:t>
      </w:r>
    </w:p>
    <w:p>
      <w:pPr>
        <w:keepNext/>
      </w:pPr>
      <w:r>
        <w:t>Good practice</w:t>
      </w:r>
    </w:p>
    <w:p>
      <w:pPr/>
      <w:r>
        <w:rPr>
          <w:b w:val="0"/>
          <w:i w:val="0"/>
        </w:rPr>
        <w:t>Results depend on the degradation rule and stopping criterion. The WB screening view must not be confused with every cohesive, fatigue or out-of-plane capability described for the compiled backend.</w:t>
      </w:r>
    </w:p>
    <w:p>
      <w:pPr>
        <w:pStyle w:val="Heading2"/>
      </w:pPr>
      <w:r>
        <w:t>Explore elastic design space with 2D and 3D carpet plots</w:t>
      </w:r>
    </w:p>
    <w:p>
      <w:pPr/>
      <w:r>
        <w:rPr>
          <w:b w:val="0"/>
          <w:i w:val="0"/>
        </w:rPr>
        <w:t>Carpet plots sweep two existing absolute-angle families while retaining ply materials, thicknesses, ordering and angle signs. Choose two different outputs such as Ex, Ey, Gxy, νxy, A11/A22 or D11/D22, then select a 2D carpet or 3D surface.</w:t>
      </w:r>
    </w:p>
    <w:p>
      <w:pPr>
        <w:pStyle w:val="ListBullet"/>
      </w:pPr>
      <w:r>
        <w:rPr>
          <w:b w:val="0"/>
          <w:i w:val="0"/>
        </w:rPr>
        <w:t>Choose distinct α and β families already present in the laminate and set increasing 0–90° bounds with 2–21 samples per sweep.</w:t>
      </w:r>
      <w:r>
        <w:rPr>
          <w:b w:val="0"/>
          <w:i w:val="0"/>
        </w:rPr>
        <w:t xml:space="preserve"> </w:t>
      </w:r>
      <w:r>
        <w:rPr>
          <w:b w:val="0"/>
          <w:i w:val="0"/>
        </w:rPr>
        <w:t xml:space="preserve"> </w:t>
      </w:r>
      <w:hyperlink r:id="rId45">
        <w:r>
          <w:rPr>
            <w:color w:val="176EA4"/>
          </w:rPr>
          <w:t>See screenshot</w:t>
        </w:r>
      </w:hyperlink>
      <w:r>
        <w:t xml:space="preserve"> </w:t>
      </w:r>
    </w:p>
    <w:p>
      <w:pPr>
        <w:pStyle w:val="ListBullet"/>
      </w:pPr>
      <w:r>
        <w:rPr>
          <w:b w:val="0"/>
          <w:i w:val="0"/>
        </w:rPr>
        <w:t>In 3D, choose which sweep lies in the plane and which output is vertical. Filled surfaces default on at 55% opacity; switch fill, mesh, autoscale, extrema and other display aids independently.</w:t>
      </w:r>
      <w:r>
        <w:rPr>
          <w:b w:val="0"/>
          <w:i w:val="0"/>
        </w:rPr>
        <w:t xml:space="preserve"> </w:t>
      </w:r>
      <w:r>
        <w:rPr>
          <w:b w:val="0"/>
          <w:i w:val="0"/>
        </w:rPr>
        <w:t xml:space="preserve"> </w:t>
      </w:r>
      <w:hyperlink r:id="rId46">
        <w:r>
          <w:rPr>
            <w:color w:val="176EA4"/>
          </w:rPr>
          <w:t>See screenshot</w:t>
        </w:r>
      </w:hyperlink>
      <w:r>
        <w:t xml:space="preserve"> </w:t>
      </w:r>
    </w:p>
    <w:p>
      <w:pPr>
        <w:pStyle w:val="ListBullet"/>
      </w:pPr>
      <w:r>
        <w:rPr>
          <w:b w:val="0"/>
          <w:i w:val="0"/>
        </w:rPr>
        <w:t>Drag the divider to give controls or plot more room. The 2D/3D selector stays at the top, and the live laminate remains beside the 3D plot.</w:t>
      </w:r>
      <w:r>
        <w:rPr>
          <w:b w:val="0"/>
          <w:i w:val="0"/>
        </w:rPr>
        <w:t xml:space="preserve"> </w:t>
      </w:r>
      <w:r>
        <w:rPr>
          <w:b w:val="0"/>
          <w:i w:val="0"/>
        </w:rPr>
        <w:t xml:space="preserve"> </w:t>
      </w:r>
      <w:hyperlink r:id="rId46">
        <w:r>
          <w:rPr>
            <w:color w:val="176EA4"/>
          </w:rPr>
          <w:t>See screenshot</w:t>
        </w:r>
      </w:hyperlink>
      <w:r>
        <w:t xml:space="preserve"> </w:t>
      </w:r>
    </w:p>
    <w:p>
      <w:pPr>
        <w:pStyle w:val="ListBullet"/>
      </w:pPr>
      <w:r>
        <w:rPr>
          <w:b w:val="0"/>
          <w:i w:val="0"/>
        </w:rPr>
        <w:t>Hover a point to inspect the exact color-coded candidate. Display minima and maxima when locating the evaluated extrema, then verify balance, symmetry and manufacturability for that candidate.</w:t>
      </w:r>
      <w:r>
        <w:rPr>
          <w:b w:val="0"/>
          <w:i w:val="0"/>
        </w:rPr>
        <w:t xml:space="preserve"> </w:t>
      </w:r>
      <w:r>
        <w:rPr>
          <w:b w:val="0"/>
          <w:i w:val="0"/>
        </w:rPr>
        <w:t xml:space="preserve"> </w:t>
      </w:r>
      <w:hyperlink r:id="rId45">
        <w:r>
          <w:rPr>
            <w:color w:val="176EA4"/>
          </w:rPr>
          <w:t>See screenshot</w:t>
        </w:r>
      </w:hyperlink>
      <w:r>
        <w:t xml:space="preserve"> </w:t>
      </w:r>
    </w:p>
    <w:p>
      <w:pPr>
        <w:keepNext w:val="0"/>
        <w:jc w:val="center"/>
      </w:pPr>
      <w:r>
        <w:drawing>
          <wp:inline xmlns:a="http://schemas.openxmlformats.org/drawingml/2006/main" xmlns:pic="http://schemas.openxmlformats.org/drawingml/2006/picture">
            <wp:extent cx="6217920" cy="3280536"/>
            <wp:docPr id="14" name="Picture 14" descr="Select axes and open Sweep setup in the left column. Extrema highlights evaluated minima and maxima."/>
            <wp:cNvGraphicFramePr>
              <a:graphicFrameLocks noChangeAspect="1"/>
            </wp:cNvGraphicFramePr>
            <a:graphic>
              <a:graphicData uri="http://schemas.openxmlformats.org/drawingml/2006/picture">
                <pic:pic>
                  <pic:nvPicPr>
                    <pic:cNvPr id="0" name="1dd02172858cfcf9f54466aa4121d47f4c3de38e28e80a565cd9c30c37606458.png"/>
                    <pic:cNvPicPr/>
                  </pic:nvPicPr>
                  <pic:blipFill>
                    <a:blip r:embed="rId47"/>
                    <a:stretch>
                      <a:fillRect/>
                    </a:stretch>
                  </pic:blipFill>
                  <pic:spPr>
                    <a:xfrm>
                      <a:off x="0" y="0"/>
                      <a:ext cx="6217920" cy="3280536"/>
                    </a:xfrm>
                    <a:prstGeom prst="rect"/>
                  </pic:spPr>
                </pic:pic>
              </a:graphicData>
            </a:graphic>
          </wp:inline>
        </w:drawing>
      </w:r>
    </w:p>
    <w:p>
      <w:pPr>
        <w:pStyle w:val="Caption"/>
      </w:pPr>
      <w:r>
        <w:rPr>
          <w:b/>
          <w:i w:val="0"/>
        </w:rPr>
        <w:t xml:space="preserve">Steps </w:t>
      </w:r>
      <w:r>
        <w:rPr>
          <w:b/>
          <w:i w:val="0"/>
        </w:rPr>
        <w:t xml:space="preserve"> </w:t>
      </w:r>
      <w:r>
        <w:rPr>
          <w:b/>
          <w:i w:val="0"/>
        </w:rPr>
        <w:t>1, 4</w:t>
      </w:r>
      <w:r>
        <w:rPr>
          <w:b/>
          <w:i w:val="0"/>
        </w:rPr>
        <w:t xml:space="preserve"> </w:t>
      </w:r>
      <w:r>
        <w:rPr>
          <w:b/>
          <w:i w:val="0"/>
        </w:rPr>
        <w:t xml:space="preserve"> · </w:t>
      </w:r>
      <w:r>
        <w:rPr>
          <w:b w:val="0"/>
          <w:i w:val="0"/>
        </w:rPr>
        <w:t>Select axes and open Sweep setup in the left column. Extrema highlights evaluated minima and maxima.</w:t>
      </w:r>
      <w:r>
        <w:rPr>
          <w:b w:val="0"/>
          <w:i w:val="0"/>
        </w:rPr>
        <w:t xml:space="preserve"> </w:t>
      </w:r>
      <w:r>
        <w:rPr>
          <w:b w:val="0"/>
          <w:i w:val="0"/>
        </w:rPr>
        <w:t xml:space="preserve"> </w:t>
      </w:r>
      <w:hyperlink r:id="rId48">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jc w:val="center"/>
      </w:pPr>
      <w:r>
        <w:drawing>
          <wp:inline xmlns:a="http://schemas.openxmlformats.org/drawingml/2006/main" xmlns:pic="http://schemas.openxmlformats.org/drawingml/2006/picture">
            <wp:extent cx="6217920" cy="3280536"/>
            <wp:docPr id="15" name="Picture 15" descr="The 3D view offers a Height selector, autoscale and fill controls. The divider separates controls from the plotted surface."/>
            <wp:cNvGraphicFramePr>
              <a:graphicFrameLocks noChangeAspect="1"/>
            </wp:cNvGraphicFramePr>
            <a:graphic>
              <a:graphicData uri="http://schemas.openxmlformats.org/drawingml/2006/picture">
                <pic:pic>
                  <pic:nvPicPr>
                    <pic:cNvPr id="0" name="cf11ad228c689aa3ef9f1f18e5981856968b8324e71e9c4071cc3d2ff7a5a262.png"/>
                    <pic:cNvPicPr/>
                  </pic:nvPicPr>
                  <pic:blipFill>
                    <a:blip r:embed="rId49"/>
                    <a:stretch>
                      <a:fillRect/>
                    </a:stretch>
                  </pic:blipFill>
                  <pic:spPr>
                    <a:xfrm>
                      <a:off x="0" y="0"/>
                      <a:ext cx="6217920" cy="3280536"/>
                    </a:xfrm>
                    <a:prstGeom prst="rect"/>
                  </pic:spPr>
                </pic:pic>
              </a:graphicData>
            </a:graphic>
          </wp:inline>
        </w:drawing>
      </w:r>
    </w:p>
    <w:p>
      <w:pPr>
        <w:pStyle w:val="Caption"/>
      </w:pPr>
      <w:r>
        <w:rPr>
          <w:b/>
          <w:i w:val="0"/>
        </w:rPr>
        <w:t xml:space="preserve">Steps </w:t>
      </w:r>
      <w:r>
        <w:rPr>
          <w:b/>
          <w:i w:val="0"/>
        </w:rPr>
        <w:t xml:space="preserve"> </w:t>
      </w:r>
      <w:r>
        <w:rPr>
          <w:b/>
          <w:i w:val="0"/>
        </w:rPr>
        <w:t>2, 3</w:t>
      </w:r>
      <w:r>
        <w:rPr>
          <w:b/>
          <w:i w:val="0"/>
        </w:rPr>
        <w:t xml:space="preserve"> </w:t>
      </w:r>
      <w:r>
        <w:rPr>
          <w:b/>
          <w:i w:val="0"/>
        </w:rPr>
        <w:t xml:space="preserve"> · </w:t>
      </w:r>
      <w:r>
        <w:rPr>
          <w:b w:val="0"/>
          <w:i w:val="0"/>
        </w:rPr>
        <w:t>The 3D view offers a Height selector, autoscale and fill controls. The divider separates controls from the plotted surface.</w:t>
      </w:r>
      <w:r>
        <w:rPr>
          <w:b w:val="0"/>
          <w:i w:val="0"/>
        </w:rPr>
        <w:t xml:space="preserve"> </w:t>
      </w:r>
      <w:r>
        <w:rPr>
          <w:b w:val="0"/>
          <w:i w:val="0"/>
        </w:rPr>
        <w:t xml:space="preserve"> </w:t>
      </w:r>
      <w:hyperlink r:id="rId5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A carpet plot is an elastic sensitivity study, not a strength envelope or an optimized solution. Extrema are limited to the sampled design space.</w:t>
      </w:r>
    </w:p>
    <w:p>
      <w:pPr>
        <w:pStyle w:val="Heading2"/>
      </w:pPr>
      <w:r>
        <w:t>Optimize lamina and microstructure inputs</w:t>
      </w:r>
    </w:p>
    <w:p>
      <w:pPr/>
      <w:r>
        <w:rPr>
          <w:b w:val="0"/>
          <w:i w:val="0"/>
        </w:rPr>
        <w:t>Lamina / Micro mode builds the same 2D and 3D study workflow around microstructure inputs rather than ply angles. It uses the selected micromechanics model, linked constituents, editable empirical parameters, and available thermal or moisture data.</w:t>
      </w:r>
    </w:p>
    <w:p>
      <w:pPr>
        <w:pStyle w:val="ListBullet"/>
      </w:pPr>
      <w:r>
        <w:rPr>
          <w:b w:val="0"/>
          <w:i w:val="0"/>
        </w:rPr>
        <w:t>Choose the micromechanics record and confirm its linked fiber, matrix, filler or void records. Missing required inputs stop the study instead of silently substituting a hidden constant.</w:t>
      </w:r>
    </w:p>
    <w:p>
      <w:pPr>
        <w:pStyle w:val="ListBullet"/>
      </w:pPr>
      <w:r>
        <w:rPr>
          <w:b w:val="0"/>
          <w:i w:val="0"/>
        </w:rPr>
        <w:t>Select two inputs from the variables relevant to that model: composition, aspect ratio, orientation, crimp, weave or braid terms, void knockdown, constituent-retention factors, or editable transport closures.</w:t>
      </w:r>
    </w:p>
    <w:p>
      <w:pPr>
        <w:pStyle w:val="ListBullet"/>
      </w:pPr>
      <w:r>
        <w:rPr>
          <w:b w:val="0"/>
          <w:i w:val="0"/>
        </w:rPr>
        <w:t>Choose elastic, strength, density, specific heat, conductivity, thermal diffusivity, moisture diffusivity or moisture saturation as the mapped output.</w:t>
      </w:r>
    </w:p>
    <w:p>
      <w:pPr>
        <w:pStyle w:val="ListBullet"/>
      </w:pPr>
      <w:r>
        <w:rPr>
          <w:b w:val="0"/>
          <w:i w:val="0"/>
        </w:rPr>
        <w:t>Set bounds, fixed slices and constraints. Use 2D contours or filled 3D surfaces with extrema and autoscale controls to examine maxima, minima and trade-offs.</w:t>
      </w:r>
    </w:p>
    <w:p>
      <w:pPr>
        <w:pStyle w:val="ListBullet"/>
      </w:pPr>
      <w:r>
        <w:rPr>
          <w:b w:val="0"/>
          <w:i w:val="0"/>
        </w:rPr>
        <w:t>Save the snapshot before applying a candidate. Applying writes the chosen active model parameters back to the micromechanics record; downstream laminate and structural results should then be rerun.</w:t>
      </w:r>
    </w:p>
    <w:p>
      <w:pPr>
        <w:keepNext/>
      </w:pPr>
      <w:r>
        <w:t>Good practice</w:t>
      </w:r>
    </w:p>
    <w:p>
      <w:pPr/>
      <w:r>
        <w:rPr>
          <w:b w:val="0"/>
          <w:i w:val="0"/>
        </w:rPr>
        <w:t>Only variables supported by the chosen architecture are offered. A generated property is a model prediction and retains the source and limitation of its constituent data and empirical closures.</w:t>
      </w:r>
    </w:p>
    <w:p>
      <w:pPr>
        <w:pStyle w:val="Heading2"/>
      </w:pPr>
      <w:r>
        <w:t>Run a bounded laminate optimization</w:t>
      </w:r>
    </w:p>
    <w:p>
      <w:pPr/>
      <w:r>
        <w:rPr>
          <w:b w:val="0"/>
          <w:i w:val="0"/>
        </w:rPr>
        <w:t>Laminate mode searches discrete ply angles for a selected mechanical load case. Objectives are lowest feasible areal mass, greatest first-failure load factor, or greatest absolute selected mid-plane strain at first failure.</w:t>
      </w:r>
    </w:p>
    <w:p>
      <w:pPr>
        <w:pStyle w:val="ListBullet"/>
      </w:pPr>
      <w:r>
        <w:rPr>
          <w:b w:val="0"/>
          <w:i w:val="0"/>
        </w:rPr>
        <w:t>Choose Laminate in Optimize Inputs, then select the structural case, objective, first-ply criterion, allowed angles and required load factor.</w:t>
      </w:r>
    </w:p>
    <w:p>
      <w:pPr>
        <w:pStyle w:val="ListBullet"/>
      </w:pPr>
      <w:r>
        <w:rPr>
          <w:b w:val="0"/>
          <w:i w:val="0"/>
        </w:rPr>
        <w:t>For mass, set minimum/maximum ply counts. Strength and strain hold the current ply count fixed.</w:t>
      </w:r>
    </w:p>
    <w:p>
      <w:pPr>
        <w:pStyle w:val="ListBullet"/>
      </w:pPr>
      <w:r>
        <w:rPr>
          <w:b w:val="0"/>
          <w:i w:val="0"/>
        </w:rPr>
        <w:t>Choose symmetric construction, balanced pairs and minimum angle content as needed. Review the angle-content guidance.</w:t>
      </w:r>
    </w:p>
    <w:p>
      <w:pPr>
        <w:pStyle w:val="ListBullet"/>
      </w:pPr>
      <w:r>
        <w:rPr>
          <w:b w:val="0"/>
          <w:i w:val="0"/>
        </w:rPr>
        <w:t>Set a repeatable seed and evaluation budget in Search settings. The supported range is 1–64 plies and 20–2000 evaluations.</w:t>
      </w:r>
    </w:p>
    <w:p>
      <w:pPr>
        <w:pStyle w:val="ListBullet"/>
      </w:pPr>
      <w:r>
        <w:rPr>
          <w:b w:val="0"/>
          <w:i w:val="0"/>
        </w:rPr>
        <w:t>Click Optimize. Read evaluated/feasible counts, convergence, trade-off plot and Best Found together. Drag the panel dividers to inspect the plots.</w:t>
      </w:r>
    </w:p>
    <w:p>
      <w:pPr>
        <w:pStyle w:val="ListBullet"/>
      </w:pPr>
      <w:r>
        <w:rPr>
          <w:b w:val="0"/>
          <w:i w:val="0"/>
        </w:rPr>
        <w:t>Apply candidate updates the existing laminate after confirmation. Create new laminate creates a separate candidate-based record and leaves the original laminate and simulation link unchanged. Both actions remain disabled until a feasible candidate is available.</w:t>
      </w:r>
    </w:p>
    <w:p>
      <w:pPr>
        <w:keepNext/>
      </w:pPr>
      <w:r>
        <w:t>Good practice</w:t>
      </w:r>
    </w:p>
    <w:p>
      <w:pPr/>
      <w:r>
        <w:rPr>
          <w:b w:val="0"/>
          <w:i w:val="0"/>
        </w:rPr>
        <w:t>Mechanical-only, one material and uniform ply thickness are required. Thermal/cure/moisture residuals are not reused after redesign. Re-link a new laminate deliberately, then rerun and validate the complete coupled simulation.</w:t>
      </w:r>
    </w:p>
    <w:p>
      <w:pPr>
        <w:pStyle w:val="Heading2"/>
      </w:pPr>
      <w:r>
        <w:t>Save and compare optimization cases</w:t>
      </w:r>
    </w:p>
    <w:p>
      <w:pPr/>
      <w:r>
        <w:rPr>
          <w:b w:val="0"/>
          <w:i w:val="0"/>
        </w:rPr>
        <w:t>Use Save snapshot in Inputs, beside the structural-case dropdown, after a result is available. Name the case so its objective and loading are recognizable.</w:t>
      </w:r>
    </w:p>
    <w:p>
      <w:pPr>
        <w:pStyle w:val="ListBullet"/>
      </w:pPr>
      <w:r>
        <w:rPr>
          <w:b w:val="0"/>
          <w:i w:val="0"/>
        </w:rPr>
        <w:t>Saving captures the inputs, load vector, search settings, candidates, convergence and best-found result; it also provides a CDS_DB download.</w:t>
      </w:r>
    </w:p>
    <w:p>
      <w:pPr>
        <w:pStyle w:val="ListBullet"/>
      </w:pPr>
      <w:r>
        <w:rPr>
          <w:b w:val="0"/>
          <w:i w:val="0"/>
        </w:rPr>
        <w:t>Open a saved case from Optimizations below Simulations. Saved inputs are read-only.</w:t>
      </w:r>
    </w:p>
    <w:p>
      <w:pPr>
        <w:pStyle w:val="ListBullet"/>
      </w:pPr>
      <w:r>
        <w:rPr>
          <w:b w:val="0"/>
          <w:i w:val="0"/>
        </w:rPr>
        <w:t>Select multiple cases for the comparison table and Ashby, bar or line views. Use axis properties and filters just as in Materials results.</w:t>
      </w:r>
    </w:p>
    <w:p>
      <w:pPr>
        <w:pStyle w:val="ListBullet"/>
      </w:pPr>
      <w:r>
        <w:rPr>
          <w:b w:val="0"/>
          <w:i w:val="0"/>
        </w:rPr>
        <w:t>Start New optimization for a fresh search. Changing current inputs does not rewrite an earlier snapshot.</w:t>
      </w:r>
    </w:p>
    <w:p>
      <w:pPr>
        <w:keepNext/>
      </w:pPr>
      <w:r>
        <w:t>Good practice</w:t>
      </w:r>
    </w:p>
    <w:p>
      <w:pPr/>
      <w:r>
        <w:rPr>
          <w:b w:val="0"/>
          <w:i w:val="0"/>
        </w:rPr>
        <w:t>Load factors are relative to each case’s own load vector. Strain objectives also depend on the selected component. A feasible-candidate count of zero means no design met all constraints.</w:t>
      </w:r>
    </w:p>
    <w:p>
      <w:pPr>
        <w:pStyle w:val="Heading2"/>
      </w:pPr>
      <w:r>
        <w:t>Know what the search does not establish</w:t>
      </w:r>
    </w:p>
    <w:p>
      <w:pPr/>
      <w:r>
        <w:rPr>
          <w:b w:val="0"/>
          <w:i w:val="0"/>
        </w:rPr>
        <w:t>Small spaces are exhaustively enumerated; larger spaces use seeded multi-start search. A budget limit or flat convergence curve is not proof of a global optimum.</w:t>
      </w:r>
    </w:p>
    <w:p>
      <w:pPr>
        <w:pStyle w:val="ListBullet"/>
      </w:pPr>
      <w:r>
        <w:rPr>
          <w:b w:val="0"/>
          <w:i w:val="0"/>
        </w:rPr>
        <w:t>Repeat large searches with different seeds and budgets.</w:t>
      </w:r>
    </w:p>
    <w:p>
      <w:pPr>
        <w:pStyle w:val="ListBullet"/>
      </w:pPr>
      <w:r>
        <w:rPr>
          <w:b w:val="0"/>
          <w:i w:val="0"/>
        </w:rPr>
        <w:t>Check contiguity, disorientation, manufacturing rules and damage tolerance separately.</w:t>
      </w:r>
    </w:p>
    <w:p>
      <w:pPr>
        <w:pStyle w:val="ListBullet"/>
      </w:pPr>
      <w:r>
        <w:rPr>
          <w:b w:val="0"/>
          <w:i w:val="0"/>
        </w:rPr>
        <w:t>Validate buckling, fatigue, joints, defects, delamination and environmental effects with suitable models and data.</w:t>
      </w:r>
    </w:p>
    <w:p>
      <w:pPr>
        <w:pStyle w:val="ListBullet"/>
      </w:pPr>
      <w:r>
        <w:rPr>
          <w:b w:val="0"/>
          <w:i w:val="0"/>
        </w:rPr>
        <w:t>Treat any claimed “best” design as best found within this defined search space and model.</w:t>
      </w:r>
    </w:p>
    <w:p>
      <w:pPr>
        <w:keepNext/>
      </w:pPr>
      <w:r>
        <w:t>Good practice</w:t>
      </w:r>
    </w:p>
    <w:p>
      <w:pPr/>
      <w:r>
        <w:rPr>
          <w:b w:val="0"/>
          <w:i w:val="0"/>
        </w:rPr>
        <w:t>For the equations and implementation boundaries, see WB failure, envelope and optimization methods in Theories.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4" w:name="chapter_4"/>
      <w:pPr>
        <w:pStyle w:val="Heading1"/>
        <w:pageBreakBefore/>
      </w:pPr>
      <w:r>
        <w:t>4 Use the interface deliberately and efficiently</w:t>
      </w:r>
      <w:bookmarkEnd w:id="4"/>
    </w:p>
    <w:p>
      <w:pPr>
        <w:pStyle w:val="Caption"/>
      </w:pPr>
      <w:hyperlink r:id="rId51">
        <w:r>
          <w:rPr>
            <w:color w:val="176EA4"/>
          </w:rPr>
          <w:t>Online chapter</w:t>
        </w:r>
      </w:hyperlink>
      <w:r>
        <w:t xml:space="preserve"> </w:t>
      </w:r>
    </w:p>
    <w:p>
      <w:pPr/>
      <w:r>
        <w:rPr>
          <w:b w:val="0"/>
          <w:i w:val="0"/>
        </w:rPr>
        <w:t>A practical operating pattern for compact navigation, model checks, result comparison, and portable data.</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hyperlink r:id="rId16">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Right-click help throughout the Workbench</w:t>
      </w:r>
    </w:p>
    <w:p>
      <w:pPr/>
      <w:r>
        <w:rPr>
          <w:b w:val="0"/>
          <w:i w:val="0"/>
        </w:rPr>
        <w:t>Right-click a record, input, workflow block, result plot or workspace area and choose its Help link. Existing edit, export and plotting actions remain in their menus; help opens the relevant manual section in a separate tab.</w:t>
      </w:r>
    </w:p>
    <w:p>
      <w:pPr>
        <w:pStyle w:val="ListBullet"/>
      </w:pPr>
      <w:r>
        <w:rPr>
          <w:b w:val="0"/>
          <w:i w:val="0"/>
        </w:rPr>
        <w:t>Use the help item on the area you are working in: Inputs and Outputs have separate context, and workflow blocks use their own module.</w:t>
      </w:r>
    </w:p>
    <w:p>
      <w:pPr>
        <w:pStyle w:val="ListBullet"/>
      </w:pPr>
      <w:r>
        <w:rPr>
          <w:b w:val="0"/>
          <w:i w:val="0"/>
        </w:rPr>
        <w:t>Press F1 for help on the focused control, or Shift+F10 to open its context menu using the keyboard.</w:t>
      </w:r>
    </w:p>
    <w:p>
      <w:pPr>
        <w:pStyle w:val="ListBullet"/>
      </w:pPr>
      <w:r>
        <w:rPr>
          <w:b w:val="0"/>
          <w:i w:val="0"/>
        </w:rPr>
        <w:t>Use Shift+right-click when you need the browser's native menu, including text editing and link actions.</w:t>
      </w:r>
    </w:p>
    <w:p>
      <w:pPr>
        <w:pStyle w:val="ListBullet"/>
      </w:pPr>
      <w:r>
        <w:rPr>
          <w:b w:val="0"/>
          <w:i w:val="0"/>
        </w:rPr>
        <w:t>Open the Exercise manual for the complete searchable curriculum, then use the user portal Database library to download current exercise copies.</w:t>
      </w:r>
    </w:p>
    <w:p>
      <w:pPr>
        <w:keepNext/>
      </w:pPr>
      <w:r>
        <w:t>Good practice</w:t>
      </w:r>
    </w:p>
    <w:p>
      <w:pPr/>
      <w:r>
        <w:rPr>
          <w:b w:val="0"/>
          <w:i w:val="0"/>
        </w:rPr>
        <w:t>Help links explain controls and model limitations; they do not validate your material data or mark a solution as passing.</w:t>
      </w:r>
    </w:p>
    <w:p>
      <w:pPr>
        <w:pStyle w:val="Heading2"/>
      </w:pPr>
      <w:r>
        <w:t>Use Project Manager consistently</w:t>
      </w:r>
    </w:p>
    <w:p>
      <w:pPr/>
      <w:r>
        <w:rPr>
          <w:b w:val="0"/>
          <w:i w:val="0"/>
        </w:rPr>
        <w:t>Project Manager mirrors record right-click operations. Use whichever access point is faster, but always verify the selected item and action scope first.</w:t>
      </w:r>
    </w:p>
    <w:p>
      <w:pPr>
        <w:keepNext/>
        <w:jc w:val="center"/>
      </w:pPr>
      <w:r>
        <w:drawing>
          <wp:inline xmlns:a="http://schemas.openxmlformats.org/drawingml/2006/main" xmlns:pic="http://schemas.openxmlformats.org/drawingml/2006/picture">
            <wp:extent cx="6217920" cy="5545711"/>
            <wp:docPr id="16" name="Picture 16" descr="The record context menu exposes Open, Create, Duplicate, Move, Save and Delete actions for the selected record."/>
            <wp:cNvGraphicFramePr>
              <a:graphicFrameLocks noChangeAspect="1"/>
            </wp:cNvGraphicFramePr>
            <a:graphic>
              <a:graphicData uri="http://schemas.openxmlformats.org/drawingml/2006/picture">
                <pic:pic>
                  <pic:nvPicPr>
                    <pic:cNvPr id="0" name="b91d230f0a73048d57b704049bcf17c3d04bd0f9cda647340b93d06d9a8718d7.png"/>
                    <pic:cNvPicPr/>
                  </pic:nvPicPr>
                  <pic:blipFill>
                    <a:blip r:embed="rId32"/>
                    <a:stretch>
                      <a:fillRect/>
                    </a:stretch>
                  </pic:blipFill>
                  <pic:spPr>
                    <a:xfrm>
                      <a:off x="0" y="0"/>
                      <a:ext cx="6217920" cy="5545711"/>
                    </a:xfrm>
                    <a:prstGeom prst="rect"/>
                  </pic:spPr>
                </pic:pic>
              </a:graphicData>
            </a:graphic>
          </wp:inline>
        </w:drawing>
      </w:r>
    </w:p>
    <w:p>
      <w:pPr>
        <w:pStyle w:val="Caption"/>
      </w:pPr>
      <w:r>
        <w:rPr>
          <w:b w:val="0"/>
          <w:i w:val="0"/>
        </w:rPr>
        <w:t>The record context menu exposes Open, Create, Duplicate, Move, Save and Delete actions for the selected record.</w:t>
      </w:r>
      <w:r>
        <w:rPr>
          <w:b w:val="0"/>
          <w:i w:val="0"/>
        </w:rPr>
        <w:t xml:space="preserve"> </w:t>
      </w:r>
      <w:r>
        <w:rPr>
          <w:b w:val="0"/>
          <w:i w:val="0"/>
        </w:rPr>
        <w:t xml:space="preserve"> </w:t>
      </w:r>
      <w:hyperlink r:id="rId33">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pStyle w:val="Heading2"/>
      </w:pPr>
      <w:r>
        <w:t>Adjust and retain interface settings</w:t>
      </w:r>
    </w:p>
    <w:p>
      <w:pPr/>
      <w:r>
        <w:rPr>
          <w:b w:val="0"/>
          <w:i w:val="0"/>
        </w:rPr>
        <w:t>Open Settings: Visual for font size and appearance. Settings: General is available from the top menu and the pop-up settings panel. Preferences are stored on the user’s local system, including optional automatic simulation on opening when the connected model is complete. Choose a density that keeps descriptors readable without hiding the connection summary.</w:t>
      </w:r>
    </w:p>
    <w:p>
      <w:pPr>
        <w:pStyle w:val="Heading2"/>
      </w:pPr>
      <w:r>
        <w:t>Filter without losing context</w:t>
      </w:r>
    </w:p>
    <w:p>
      <w:pPr/>
      <w:r>
        <w:rPr>
          <w:b w:val="0"/>
          <w:i w:val="0"/>
        </w:rPr>
        <w:t>Prefer the compact All records dropdown and virtual-folder filters over collapsing the entire tree manually. Filters retain the menu structure, highlight the active state, and change the heading to Workspace filtered result. Single-click selects; use the chevron or double-click to open child items.</w:t>
      </w:r>
    </w:p>
    <w:p>
      <w:pPr>
        <w:keepNext/>
        <w:jc w:val="center"/>
      </w:pPr>
      <w:r>
        <w:drawing>
          <wp:inline xmlns:a="http://schemas.openxmlformats.org/drawingml/2006/main" xmlns:pic="http://schemas.openxmlformats.org/drawingml/2006/picture">
            <wp:extent cx="6217920" cy="4304354"/>
            <wp:docPr id="17" name="Picture 17" descr="Search and filter controls sit above the project tree."/>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21"/>
                    <a:stretch>
                      <a:fillRect/>
                    </a:stretch>
                  </pic:blipFill>
                  <pic:spPr>
                    <a:xfrm>
                      <a:off x="0" y="0"/>
                      <a:ext cx="6217920" cy="4304354"/>
                    </a:xfrm>
                    <a:prstGeom prst="rect"/>
                  </pic:spPr>
                </pic:pic>
              </a:graphicData>
            </a:graphic>
          </wp:inline>
        </w:drawing>
      </w:r>
    </w:p>
    <w:p>
      <w:pPr>
        <w:pStyle w:val="Caption"/>
      </w:pPr>
      <w:r>
        <w:rPr>
          <w:b w:val="0"/>
          <w:i w:val="0"/>
        </w:rPr>
        <w:t>Search and filter controls sit above the project tree.</w:t>
      </w:r>
      <w:r>
        <w:rPr>
          <w:b w:val="0"/>
          <w:i w:val="0"/>
        </w:rPr>
        <w:t xml:space="preserve"> </w:t>
      </w:r>
      <w:r>
        <w:rPr>
          <w:b w:val="0"/>
          <w:i w:val="0"/>
        </w:rPr>
        <w:t xml:space="preserve"> </w:t>
      </w:r>
      <w:hyperlink r:id="rId22">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pStyle w:val="Heading2"/>
      </w:pPr>
      <w:r>
        <w:t>Use locks bounds and increments</w:t>
      </w:r>
    </w:p>
    <w:p>
      <w:pPr/>
      <w:r>
        <w:rPr>
          <w:b w:val="0"/>
          <w:i w:val="0"/>
        </w:rPr>
        <w:t>Keep trusted properties locked. Unlock only the values being changed, use physically meaningful bounds, select an increment appropriate to the property scale, and relock after review.</w:t>
      </w:r>
    </w:p>
    <w:p>
      <w:pPr>
        <w:keepNext/>
        <w:jc w:val="center"/>
      </w:pPr>
      <w:r>
        <w:drawing>
          <wp:inline xmlns:a="http://schemas.openxmlformats.org/drawingml/2006/main" xmlns:pic="http://schemas.openxmlformats.org/drawingml/2006/picture">
            <wp:extent cx="6217920" cy="4304354"/>
            <wp:docPr id="18" name="Picture 18" descr="Row locks sit beside the units; the group lock is in the table header."/>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21"/>
                    <a:stretch>
                      <a:fillRect/>
                    </a:stretch>
                  </pic:blipFill>
                  <pic:spPr>
                    <a:xfrm>
                      <a:off x="0" y="0"/>
                      <a:ext cx="6217920" cy="4304354"/>
                    </a:xfrm>
                    <a:prstGeom prst="rect"/>
                  </pic:spPr>
                </pic:pic>
              </a:graphicData>
            </a:graphic>
          </wp:inline>
        </w:drawing>
      </w:r>
    </w:p>
    <w:p>
      <w:pPr>
        <w:pStyle w:val="Caption"/>
      </w:pPr>
      <w:r>
        <w:rPr>
          <w:b w:val="0"/>
          <w:i w:val="0"/>
        </w:rPr>
        <w:t>Row locks sit beside the units; the group lock is in the table header.</w:t>
      </w:r>
      <w:r>
        <w:rPr>
          <w:b w:val="0"/>
          <w:i w:val="0"/>
        </w:rPr>
        <w:t xml:space="preserve"> </w:t>
      </w:r>
      <w:r>
        <w:rPr>
          <w:b w:val="0"/>
          <w:i w:val="0"/>
        </w:rPr>
        <w:t xml:space="preserve"> </w:t>
      </w:r>
      <w:hyperlink r:id="rId22">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pStyle w:val="Heading2"/>
      </w:pPr>
      <w:r>
        <w:t>Choose the result view that fits the task</w:t>
      </w:r>
    </w:p>
    <w:p>
      <w:pPr/>
      <w:r>
        <w:rPr>
          <w:b w:val="0"/>
          <w:i w:val="0"/>
        </w:rPr>
        <w:t>Materials, Micromechanics, Laminates and saved optimizations share Table, Ashby, Bar, and Line views. Use the clearly highlighted active tab for one-record inspection or multi-record comparison. Run leaves that selected tab in place. Wide and tall tables scroll inside the application rather than extending beyond the window.</w:t>
      </w:r>
    </w:p>
    <w:p>
      <w:pPr>
        <w:keepNext/>
        <w:jc w:val="center"/>
      </w:pPr>
      <w:r>
        <w:drawing>
          <wp:inline xmlns:a="http://schemas.openxmlformats.org/drawingml/2006/main" xmlns:pic="http://schemas.openxmlformats.org/drawingml/2006/picture">
            <wp:extent cx="6217920" cy="4304354"/>
            <wp:docPr id="19" name="Picture 19" descr="The lower output pane separates comparison data and chart controls with an adjustable divider."/>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21"/>
                    <a:stretch>
                      <a:fillRect/>
                    </a:stretch>
                  </pic:blipFill>
                  <pic:spPr>
                    <a:xfrm>
                      <a:off x="0" y="0"/>
                      <a:ext cx="6217920" cy="4304354"/>
                    </a:xfrm>
                    <a:prstGeom prst="rect"/>
                  </pic:spPr>
                </pic:pic>
              </a:graphicData>
            </a:graphic>
          </wp:inline>
        </w:drawing>
      </w:r>
    </w:p>
    <w:p>
      <w:pPr>
        <w:pStyle w:val="Caption"/>
      </w:pPr>
      <w:r>
        <w:rPr>
          <w:b w:val="0"/>
          <w:i w:val="0"/>
        </w:rPr>
        <w:t>The lower output pane separates comparison data and chart controls with an adjustable divider.</w:t>
      </w:r>
      <w:r>
        <w:rPr>
          <w:b w:val="0"/>
          <w:i w:val="0"/>
        </w:rPr>
        <w:t xml:space="preserve"> </w:t>
      </w:r>
      <w:r>
        <w:rPr>
          <w:b w:val="0"/>
          <w:i w:val="0"/>
        </w:rPr>
        <w:t xml:space="preserve"> </w:t>
      </w:r>
      <w:hyperlink r:id="rId22">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For multiple selections, the table places properties in rows and selected records in columns.</w:t>
      </w:r>
    </w:p>
    <w:p>
      <w:pPr>
        <w:pStyle w:val="Heading2"/>
      </w:pPr>
      <w:r>
        <w:t>Control 2D and 3D plots</w:t>
      </w:r>
    </w:p>
    <w:p>
      <w:pPr/>
      <w:r>
        <w:rPr>
          <w:b w:val="0"/>
          <w:i w:val="0"/>
        </w:rPr>
        <w:t>Three-dimensional plots default to a filled surface at 55% opacity. Use Fill, opacity, mesh, extrema and Autoscale on/off to expose the shape without losing the sampled data. Carpet plots place their 2D/3D selector at the top and provide an adjustable divider between controls, plot and live laminate.</w:t>
      </w:r>
    </w:p>
    <w:p>
      <w:pPr>
        <w:keepNext w:val="0"/>
        <w:jc w:val="center"/>
      </w:pPr>
      <w:r>
        <w:drawing>
          <wp:inline xmlns:a="http://schemas.openxmlformats.org/drawingml/2006/main" xmlns:pic="http://schemas.openxmlformats.org/drawingml/2006/picture">
            <wp:extent cx="6217920" cy="3280536"/>
            <wp:docPr id="20" name="Picture 20" descr="The 2D view keeps axes, extrema and sweep setup beside the plot."/>
            <wp:cNvGraphicFramePr>
              <a:graphicFrameLocks noChangeAspect="1"/>
            </wp:cNvGraphicFramePr>
            <a:graphic>
              <a:graphicData uri="http://schemas.openxmlformats.org/drawingml/2006/picture">
                <pic:pic>
                  <pic:nvPicPr>
                    <pic:cNvPr id="0" name="1dd02172858cfcf9f54466aa4121d47f4c3de38e28e80a565cd9c30c37606458.png"/>
                    <pic:cNvPicPr/>
                  </pic:nvPicPr>
                  <pic:blipFill>
                    <a:blip r:embed="rId47"/>
                    <a:stretch>
                      <a:fillRect/>
                    </a:stretch>
                  </pic:blipFill>
                  <pic:spPr>
                    <a:xfrm>
                      <a:off x="0" y="0"/>
                      <a:ext cx="6217920" cy="3280536"/>
                    </a:xfrm>
                    <a:prstGeom prst="rect"/>
                  </pic:spPr>
                </pic:pic>
              </a:graphicData>
            </a:graphic>
          </wp:inline>
        </w:drawing>
      </w:r>
    </w:p>
    <w:p>
      <w:pPr>
        <w:pStyle w:val="Caption"/>
      </w:pPr>
      <w:r>
        <w:rPr>
          <w:b w:val="0"/>
          <w:i w:val="0"/>
        </w:rPr>
        <w:t>The 2D view keeps axes, extrema and sweep setup beside the plot.</w:t>
      </w:r>
      <w:r>
        <w:rPr>
          <w:b w:val="0"/>
          <w:i w:val="0"/>
        </w:rPr>
        <w:t xml:space="preserve"> </w:t>
      </w:r>
      <w:r>
        <w:rPr>
          <w:b w:val="0"/>
          <w:i w:val="0"/>
        </w:rPr>
        <w:t xml:space="preserve"> </w:t>
      </w:r>
      <w:hyperlink r:id="rId48">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jc w:val="center"/>
      </w:pPr>
      <w:r>
        <w:drawing>
          <wp:inline xmlns:a="http://schemas.openxmlformats.org/drawingml/2006/main" xmlns:pic="http://schemas.openxmlformats.org/drawingml/2006/picture">
            <wp:extent cx="6217920" cy="3280536"/>
            <wp:docPr id="21" name="Picture 21" descr="Use View to select 3D, Height to choose the vertical quantity, and Autoscale or Reset view to frame the surface."/>
            <wp:cNvGraphicFramePr>
              <a:graphicFrameLocks noChangeAspect="1"/>
            </wp:cNvGraphicFramePr>
            <a:graphic>
              <a:graphicData uri="http://schemas.openxmlformats.org/drawingml/2006/picture">
                <pic:pic>
                  <pic:nvPicPr>
                    <pic:cNvPr id="0" name="cf11ad228c689aa3ef9f1f18e5981856968b8324e71e9c4071cc3d2ff7a5a262.png"/>
                    <pic:cNvPicPr/>
                  </pic:nvPicPr>
                  <pic:blipFill>
                    <a:blip r:embed="rId49"/>
                    <a:stretch>
                      <a:fillRect/>
                    </a:stretch>
                  </pic:blipFill>
                  <pic:spPr>
                    <a:xfrm>
                      <a:off x="0" y="0"/>
                      <a:ext cx="6217920" cy="3280536"/>
                    </a:xfrm>
                    <a:prstGeom prst="rect"/>
                  </pic:spPr>
                </pic:pic>
              </a:graphicData>
            </a:graphic>
          </wp:inline>
        </w:drawing>
      </w:r>
    </w:p>
    <w:p>
      <w:pPr>
        <w:pStyle w:val="Caption"/>
      </w:pPr>
      <w:r>
        <w:rPr>
          <w:b w:val="0"/>
          <w:i w:val="0"/>
        </w:rPr>
        <w:t>Use View to select 3D, Height to choose the vertical quantity, and Autoscale or Reset view to frame the surface.</w:t>
      </w:r>
      <w:r>
        <w:rPr>
          <w:b w:val="0"/>
          <w:i w:val="0"/>
        </w:rPr>
        <w:t xml:space="preserve"> </w:t>
      </w:r>
      <w:r>
        <w:rPr>
          <w:b w:val="0"/>
          <w:i w:val="0"/>
        </w:rPr>
        <w:t xml:space="preserve"> </w:t>
      </w:r>
      <w:hyperlink r:id="rId5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Turning autoscale off preserves the current limits for comparison; verify that new points have not moved outside those limits.</w:t>
      </w:r>
    </w:p>
    <w:p>
      <w:pPr>
        <w:pStyle w:val="Heading2"/>
      </w:pPr>
      <w:r>
        <w:t>Export tabular evidence</w:t>
      </w:r>
    </w:p>
    <w:p>
      <w:pPr/>
      <w:r>
        <w:rPr>
          <w:b w:val="0"/>
          <w:i w:val="0"/>
        </w:rPr>
        <w:t>Right-click supported tables to save or hand off the visible data in common formats, including CSV and XLSX, with presentation-oriented PPTX export where available. Export uses the current selection, property set and units; confirm those before distribution.</w:t>
      </w:r>
    </w:p>
    <w:p>
      <w:pPr>
        <w:pStyle w:val="Heading2"/>
      </w:pPr>
      <w:r>
        <w:t>Read the two-layer simulation workflow</w:t>
      </w:r>
    </w:p>
    <w:p>
      <w:pPr/>
      <w:r>
        <w:rPr>
          <w:b w:val="0"/>
          <w:i w:val="0"/>
        </w:rPr>
        <w:t>The simulation summary separates connected records from their selected models. Use Titles, Details or Table and the zoom controls to fit the overview. Select a block to focus it, then select it again to open its record.</w:t>
      </w:r>
    </w:p>
    <w:p>
      <w:pPr>
        <w:pStyle w:val="ListBullet"/>
      </w:pPr>
      <w:r>
        <w:rPr>
          <w:b w:val="0"/>
          <w:i w:val="0"/>
        </w:rPr>
        <w:t>Show data reveals the key properties passed between modules; hiding it only reduces visual detail.</w:t>
      </w:r>
    </w:p>
    <w:p>
      <w:pPr>
        <w:pStyle w:val="ListBullet"/>
      </w:pPr>
      <w:r>
        <w:rPr>
          <w:b w:val="0"/>
          <w:i w:val="0"/>
        </w:rPr>
        <w:t>Show model workflow reveals the first model layer. Expand Submodels and Scope &amp; theory to inspect formulation choices, calibration and limitations.</w:t>
      </w:r>
    </w:p>
    <w:p>
      <w:pPr>
        <w:pStyle w:val="ListBullet"/>
      </w:pPr>
      <w:r>
        <w:rPr>
          <w:b w:val="0"/>
          <w:i w:val="0"/>
        </w:rPr>
        <w:t>Right-click a model block or the Models browser for that model family's theory. Nested fatigue help opens the separate fatigue assessment.</w:t>
      </w:r>
    </w:p>
    <w:p>
      <w:pPr>
        <w:pStyle w:val="ListBullet"/>
      </w:pPr>
      <w:r>
        <w:rPr>
          <w:b w:val="0"/>
          <w:i w:val="0"/>
        </w:rPr>
        <w:t>Arrow animation is optional. An animated connection does not mean a calculation is running or that its result is current.</w:t>
      </w:r>
    </w:p>
    <w:p>
      <w:pPr>
        <w:keepNext/>
        <w:jc w:val="center"/>
      </w:pPr>
      <w:r>
        <w:drawing>
          <wp:inline xmlns:a="http://schemas.openxmlformats.org/drawingml/2006/main" xmlns:pic="http://schemas.openxmlformats.org/drawingml/2006/picture">
            <wp:extent cx="6217920" cy="4897347"/>
            <wp:docPr id="22" name="Picture 22" descr="Use the linked-record view in Simulation (shown as Solve in this capture) to check simulation dependencies."/>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27"/>
                    <a:stretch>
                      <a:fillRect/>
                    </a:stretch>
                  </pic:blipFill>
                  <pic:spPr>
                    <a:xfrm>
                      <a:off x="0" y="0"/>
                      <a:ext cx="6217920" cy="4897347"/>
                    </a:xfrm>
                    <a:prstGeom prst="rect"/>
                  </pic:spPr>
                </pic:pic>
              </a:graphicData>
            </a:graphic>
          </wp:inline>
        </w:drawing>
      </w:r>
    </w:p>
    <w:p>
      <w:pPr>
        <w:pStyle w:val="Caption"/>
      </w:pPr>
      <w:r>
        <w:rPr>
          <w:b w:val="0"/>
          <w:i w:val="0"/>
        </w:rPr>
        <w:t>Use the linked-record view in Simulation (shown as Solve in this capture) to check simulation dependencies.</w:t>
      </w:r>
      <w:r>
        <w:rPr>
          <w:b w:val="0"/>
          <w:i w:val="0"/>
        </w:rPr>
        <w:t xml:space="preserve"> </w:t>
      </w:r>
      <w:r>
        <w:rPr>
          <w:b w:val="0"/>
          <w:i w:val="0"/>
        </w:rPr>
        <w:t xml:space="preserve"> </w:t>
      </w:r>
      <w:hyperlink r:id="rId28">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Tree nesting shows related methods, not automatic solver compatibility. CLT/FSDT finite-plate studies, progressive failure, cohesive growth and fatigue have distinct supported paths.</w:t>
      </w:r>
    </w:p>
    <w:p>
      <w:pPr>
        <w:pStyle w:val="Heading2"/>
      </w:pPr>
      <w:r>
        <w:t>Make room without losing your place</w:t>
      </w:r>
    </w:p>
    <w:p>
      <w:pPr/>
      <w:r>
        <w:rPr>
          <w:b w:val="0"/>
          <w:i w:val="0"/>
        </w:rPr>
        <w:t>Use Lite for a compact workspace and Advanced to expose additional controls. The global switch affects the workspace; local switches expand only their own area. Neither changes model permissions or disables linked physics.</w:t>
      </w:r>
    </w:p>
    <w:p>
      <w:pPr>
        <w:pStyle w:val="ListBullet"/>
      </w:pPr>
      <w:r>
        <w:rPr>
          <w:b w:val="0"/>
          <w:i w:val="0"/>
        </w:rPr>
        <w:t>Use Inputs, Split and Outputs at the top, or the expand icon on either pane, to give editing or results more room. Restore Split to return to the divided layout.</w:t>
      </w:r>
    </w:p>
    <w:p>
      <w:pPr>
        <w:pStyle w:val="ListBullet"/>
      </w:pPr>
      <w:r>
        <w:rPr>
          <w:b w:val="0"/>
          <w:i w:val="0"/>
        </w:rPr>
        <w:t>On narrow windows, toolbar text reduces to icons. Hover for a label, or focus the control with the keyboard.</w:t>
      </w:r>
    </w:p>
    <w:p>
      <w:pPr>
        <w:pStyle w:val="ListBullet"/>
      </w:pPr>
      <w:r>
        <w:rPr>
          <w:b w:val="0"/>
          <w:i w:val="0"/>
        </w:rPr>
        <w:t>Use Back and Forward to revisit input/output scenes. This changes navigation, not your saved data; it is not Undo.</w:t>
      </w:r>
    </w:p>
    <w:p>
      <w:pPr>
        <w:pStyle w:val="Heading2"/>
      </w:pPr>
      <w:r>
        <w:t>Start with CREATE DISCOVER or SIMULATE</w:t>
      </w:r>
    </w:p>
    <w:p>
      <w:pPr/>
      <w:r>
        <w:rPr>
          <w:b w:val="0"/>
          <w:i w:val="0"/>
        </w:rPr>
        <w:t>CREATE guides a starter design; DISCOVER explores the live laminate; SIMULATE opens the normal workspace. Levels in CREATE and DISCOVER introduce more detail without turning teaching defaults into qualified design data.</w:t>
      </w:r>
    </w:p>
    <w:p>
      <w:pPr>
        <w:pStyle w:val="ListBullet"/>
      </w:pPr>
      <w:r>
        <w:rPr>
          <w:b w:val="0"/>
          <w:i w:val="0"/>
        </w:rPr>
        <w:t>In SIMULATE, open Walkthrough highlights and choose an exercise. It opens an independent example with blue step-by-step callouts.</w:t>
      </w:r>
    </w:p>
    <w:p>
      <w:pPr>
        <w:pStyle w:val="ListBullet"/>
      </w:pPr>
      <w:r>
        <w:rPr>
          <w:b w:val="0"/>
          <w:i w:val="0"/>
        </w:rPr>
        <w:t>Move through the steps at your own pace. Run remains a deliberate action and account permissions still apply.</w:t>
      </w:r>
    </w:p>
    <w:p>
      <w:pPr>
        <w:pStyle w:val="ListBullet"/>
      </w:pPr>
      <w:r>
        <w:rPr>
          <w:b w:val="0"/>
          <w:i w:val="0"/>
        </w:rPr>
        <w:t>Stop walkthrough is always available during the guide; Escape also stops it. Exit Discovery returns to the opening page.</w:t>
      </w:r>
    </w:p>
    <w:p>
      <w:pPr>
        <w:pStyle w:val="Heading2"/>
      </w:pPr>
      <w:r>
        <w:t>Compare designs and review what changed</w:t>
      </w:r>
    </w:p>
    <w:p>
      <w:pPr/>
      <w:r>
        <w:rPr>
          <w:b w:val="0"/>
          <w:i w:val="0"/>
        </w:rPr>
        <w:t>Expand Compare designs to pin current single-laminate results as A and B. Compare dry weight per area, axial stiffness, available transverse deflection and failure margin.</w:t>
      </w:r>
    </w:p>
    <w:p>
      <w:pPr>
        <w:pStyle w:val="ListBullet"/>
      </w:pPr>
      <w:r>
        <w:rPr>
          <w:b w:val="0"/>
          <w:i w:val="0"/>
        </w:rPr>
        <w:t>Complete a current run before pinning. Open Response → Failure first if you want its assessed margin included.</w:t>
      </w:r>
    </w:p>
    <w:p>
      <w:pPr>
        <w:pStyle w:val="ListBullet"/>
      </w:pPr>
      <w:r>
        <w:rPr>
          <w:b w:val="0"/>
          <w:i w:val="0"/>
        </w:rPr>
        <w:t>Match geometry, loads, units and failure criteria. Not assessed means missing evidence, not zero.</w:t>
      </w:r>
    </w:p>
    <w:p>
      <w:pPr>
        <w:pStyle w:val="ListBullet"/>
      </w:pPr>
      <w:r>
        <w:rPr>
          <w:b w:val="0"/>
          <w:i w:val="0"/>
        </w:rPr>
        <w:t>Expand What changed? to compare inputs against the last successful run. Select a changed input to return to its record; rerun when results are marked outdated.</w:t>
      </w:r>
    </w:p>
    <w:p>
      <w:pPr>
        <w:keepNext/>
      </w:pPr>
      <w:r>
        <w:t>Good practice</w:t>
      </w:r>
    </w:p>
    <w:p>
      <w:pPr/>
      <w:r>
        <w:rPr>
          <w:b w:val="0"/>
          <w:i w:val="0"/>
        </w:rPr>
        <w:t>Pinned results are historical snapshots retained for the workspace session, not live calculations or a saved database backup.</w:t>
      </w:r>
    </w:p>
    <w:p>
      <w:pPr>
        <w:pStyle w:val="Heading2"/>
      </w:pPr>
      <w:r>
        <w:t>Know when to press Run</w:t>
      </w:r>
    </w:p>
    <w:p>
      <w:pPr/>
      <w:r>
        <w:rPr>
          <w:b w:val="0"/>
          <w:i w:val="0"/>
        </w:rPr>
        <w:t>Eligible quick connected calculations refresh after editing pauses. Process histories, mesh and iterative calculations require Run after upstream changes; larger workloads and calculations exceeding the live time budget also switch to Run.</w:t>
      </w:r>
    </w:p>
    <w:p>
      <w:pPr>
        <w:keepNext/>
      </w:pPr>
      <w:r>
        <w:t>Good practice</w:t>
      </w:r>
    </w:p>
    <w:p>
      <w:pPr/>
      <w:r>
        <w:rPr>
          <w:b w:val="0"/>
          <w:i w:val="0"/>
        </w:rPr>
        <w:t>Live refresh does not reduce accuracy or bypass compatibility checks. Follow the visible result status; an old plot is not evidence for changed inputs.</w:t>
      </w:r>
    </w:p>
    <w:p>
      <w:pPr>
        <w:pStyle w:val="Heading2"/>
      </w:pPr>
      <w:r>
        <w:t>Promote effective results to materials</w:t>
      </w:r>
    </w:p>
    <w:p>
      <w:pPr/>
      <w:r>
        <w:rPr>
          <w:b w:val="0"/>
          <w:i w:val="0"/>
        </w:rPr>
        <w:t>The Create Material menu in lamina and laminate results converts predicted effective properties into a normal material record. Select a class, name the record, choose whether to preserve source identity, and decide whether unpredicted fields remain empty or receive class assumptions.</w:t>
      </w:r>
    </w:p>
    <w:p>
      <w:pPr>
        <w:pStyle w:val="Heading2"/>
      </w:pPr>
      <w:r>
        <w:t>Save portable data</w:t>
      </w:r>
    </w:p>
    <w:p>
      <w:pPr/>
      <w:r>
        <w:rPr>
          <w:b w:val="0"/>
          <w:i w:val="0"/>
        </w:rPr>
        <w:t>Use Save Data or the SQLite database actions for a selected record, subtree, or full database. A laminate export should include its dependent laminas and materials so it can be opened on another instance. Context-menu table exports create separate review artifacts; they do not replace a dependency-complete CDS database checkpoint.</w:t>
      </w:r>
    </w:p>
    <w:p>
      <w:pPr>
        <w:keepNext/>
        <w:jc w:val="center"/>
      </w:pPr>
      <w:r>
        <w:drawing>
          <wp:inline xmlns:a="http://schemas.openxmlformats.org/drawingml/2006/main" xmlns:pic="http://schemas.openxmlformats.org/drawingml/2006/picture">
            <wp:extent cx="6217920" cy="5545711"/>
            <wp:docPr id="23" name="Picture 23" descr="Save as CDS_DB is available for the selected record. Verify export dependencies when moving a study to another instance."/>
            <wp:cNvGraphicFramePr>
              <a:graphicFrameLocks noChangeAspect="1"/>
            </wp:cNvGraphicFramePr>
            <a:graphic>
              <a:graphicData uri="http://schemas.openxmlformats.org/drawingml/2006/picture">
                <pic:pic>
                  <pic:nvPicPr>
                    <pic:cNvPr id="0" name="b91d230f0a73048d57b704049bcf17c3d04bd0f9cda647340b93d06d9a8718d7.png"/>
                    <pic:cNvPicPr/>
                  </pic:nvPicPr>
                  <pic:blipFill>
                    <a:blip r:embed="rId32"/>
                    <a:stretch>
                      <a:fillRect/>
                    </a:stretch>
                  </pic:blipFill>
                  <pic:spPr>
                    <a:xfrm>
                      <a:off x="0" y="0"/>
                      <a:ext cx="6217920" cy="5545711"/>
                    </a:xfrm>
                    <a:prstGeom prst="rect"/>
                  </pic:spPr>
                </pic:pic>
              </a:graphicData>
            </a:graphic>
          </wp:inline>
        </w:drawing>
      </w:r>
    </w:p>
    <w:p>
      <w:pPr>
        <w:pStyle w:val="Caption"/>
      </w:pPr>
      <w:r>
        <w:rPr>
          <w:b w:val="0"/>
          <w:i w:val="0"/>
        </w:rPr>
        <w:t>Save as CDS_DB is available for the selected record. Verify export dependencies when moving a study to another instance.</w:t>
      </w:r>
      <w:r>
        <w:rPr>
          <w:b w:val="0"/>
          <w:i w:val="0"/>
        </w:rPr>
        <w:t xml:space="preserve"> </w:t>
      </w:r>
      <w:r>
        <w:rPr>
          <w:b w:val="0"/>
          <w:i w:val="0"/>
        </w:rPr>
        <w:t xml:space="preserve"> </w:t>
      </w:r>
      <w:hyperlink r:id="rId33">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pStyle w:val="Heading2"/>
      </w:pPr>
      <w:r>
        <w:t>Recommended working sequence</w:t>
      </w:r>
    </w:p>
    <w:p>
      <w:pPr/>
      <w:r>
        <w:rPr>
          <w:b w:val="0"/>
          <w:i w:val="0"/>
        </w:rPr>
        <w:t>Organize materials, micromechanics, laminates and geometry, then define Thermal, Moisture, Mechanical or EM cases with their own model and applicable cycle. Choose the combination in the SIMULATION block, using None for unused case types. Review the linked inputs and compatibility warnings before Run, then compare current results. Export a portable data checkpoint before substantial restructuring.</w:t>
      </w:r>
    </w:p>
    <w:p>
      <w:pPr>
        <w:keepNext/>
        <w:jc w:val="center"/>
      </w:pPr>
      <w:r>
        <w:drawing>
          <wp:inline xmlns:a="http://schemas.openxmlformats.org/drawingml/2006/main" xmlns:pic="http://schemas.openxmlformats.org/drawingml/2006/picture">
            <wp:extent cx="6217920" cy="4897347"/>
            <wp:docPr id="24" name="Picture 24" descr="Earlier interface shown for reference. In the current SIMULATION block, select cases that reference the required laminate and geometry; each case owns its applicable cycle."/>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27"/>
                    <a:stretch>
                      <a:fillRect/>
                    </a:stretch>
                  </pic:blipFill>
                  <pic:spPr>
                    <a:xfrm>
                      <a:off x="0" y="0"/>
                      <a:ext cx="6217920" cy="4897347"/>
                    </a:xfrm>
                    <a:prstGeom prst="rect"/>
                  </pic:spPr>
                </pic:pic>
              </a:graphicData>
            </a:graphic>
          </wp:inline>
        </w:drawing>
      </w:r>
    </w:p>
    <w:p>
      <w:pPr>
        <w:pStyle w:val="Caption"/>
      </w:pPr>
      <w:r>
        <w:rPr>
          <w:b w:val="0"/>
          <w:i w:val="0"/>
        </w:rPr>
        <w:t>Earlier interface shown for reference. In the current SIMULATION block, select cases that reference the required laminate and geometry; each case owns its applicable cycle.</w:t>
      </w:r>
      <w:r>
        <w:rPr>
          <w:b w:val="0"/>
          <w:i w:val="0"/>
        </w:rPr>
        <w:t xml:space="preserve"> </w:t>
      </w:r>
      <w:r>
        <w:rPr>
          <w:b w:val="0"/>
          <w:i w:val="0"/>
        </w:rPr>
        <w:t xml:space="preserve"> </w:t>
      </w:r>
      <w:hyperlink r:id="rId28">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Small, named, dependency-complete checkpoints are easier to review and recover than one large unstructured database.</w:t>
      </w:r>
    </w:p>
    <w:p>
      <w:bookmarkStart w:id="5" w:name="chapter_5"/>
      <w:pPr>
        <w:pStyle w:val="Heading1"/>
        <w:pageBreakBefore/>
      </w:pPr>
      <w:r>
        <w:t>5 Build laminas and laminate families</w:t>
      </w:r>
      <w:bookmarkEnd w:id="5"/>
    </w:p>
    <w:p>
      <w:pPr>
        <w:pStyle w:val="Caption"/>
      </w:pPr>
      <w:hyperlink r:id="rId52">
        <w:r>
          <w:rPr>
            <w:color w:val="176EA4"/>
          </w:rPr>
          <w:t>Online chapter</w:t>
        </w:r>
      </w:hyperlink>
      <w:r>
        <w:t xml:space="preserve"> </w:t>
      </w:r>
    </w:p>
    <w:p>
      <w:pPr/>
      <w:r>
        <w:rPr>
          <w:b w:val="0"/>
          <w:i w:val="0"/>
        </w:rPr>
        <w:t>Connect materials, edit compact ply stacks, review effective results, and create reusable material records.</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r>
        <w:t>Inspect a ply stack</w:t>
      </w:r>
    </w:p>
    <w:p>
      <w:pPr/>
      <w:r>
        <w:rPr>
          <w:b w:val="0"/>
          <w:i w:val="0"/>
        </w:rPr>
        <w:t>Angle pair ±θ</w:t>
      </w:r>
      <w:r>
        <w:t xml:space="preserve">: </w:t>
      </w:r>
      <w:r>
        <w:rPr>
          <w:b w:val="0"/>
          <w:i w:val="0"/>
        </w:rPr>
        <w:t>45</w:t>
      </w:r>
      <w:r>
        <w:rPr>
          <w:b w:val="0"/>
          <w:i w:val="0"/>
        </w:rPr>
        <w:t xml:space="preserve"> </w:t>
      </w:r>
      <w:r>
        <w:rPr>
          <w:b w:val="0"/>
          <w:i w:val="0"/>
        </w:rPr>
        <w:t xml:space="preserve"> </w:t>
      </w:r>
      <w:r>
        <w:rPr>
          <w:b w:val="0"/>
          <w:i w:val="0"/>
        </w:rPr>
        <w:t xml:space="preserve"> </w:t>
      </w:r>
      <w:r>
        <w:rPr>
          <w:b w:val="0"/>
          <w:i w:val="0"/>
        </w:rPr>
        <w:t>°</w:t>
      </w:r>
    </w:p>
    <w:p>
      <w:r>
        <w:t>Ply to resize</w:t>
      </w:r>
    </w:p>
    <w:p>
      <w:pPr/>
      <w:r>
        <w:rPr>
          <w:b w:val="0"/>
          <w:i w:val="0"/>
        </w:rPr>
        <w:t>Selected ply thickness</w:t>
      </w:r>
      <w:r>
        <w:t xml:space="preserve">: </w:t>
      </w:r>
      <w:r>
        <w:rPr>
          <w:b w:val="0"/>
          <w:i w:val="0"/>
        </w:rPr>
        <w:t>0.125</w:t>
      </w:r>
      <w:r>
        <w:rPr>
          <w:b w:val="0"/>
          <w:i w:val="0"/>
        </w:rPr>
        <w:t xml:space="preserve"> </w:t>
      </w:r>
      <w:r>
        <w:rPr>
          <w:b w:val="0"/>
          <w:i w:val="0"/>
        </w:rPr>
        <w:t xml:space="preserve"> </w:t>
      </w:r>
      <w:r>
        <w:rPr>
          <w:b w:val="0"/>
          <w:i w:val="0"/>
        </w:rPr>
        <w:t xml:space="preserve"> </w:t>
      </w:r>
      <w:r>
        <w:rPr>
          <w:b w:val="0"/>
          <w:i w:val="0"/>
        </w:rPr>
        <w:t>mm</w:t>
      </w:r>
    </w:p>
    <w:p>
      <w:pPr/>
      <w:r>
        <w:rPr>
          <w:b w:val="0"/>
          <w:i w:val="0"/>
        </w:rPr>
        <w:t xml:space="preserve">8 plies · </w:t>
      </w:r>
      <w:r>
        <w:rPr>
          <w:b w:val="0"/>
          <w:i w:val="0"/>
        </w:rPr>
        <w:t xml:space="preserve"> </w:t>
      </w:r>
      <w:r>
        <w:rPr>
          <w:b w:val="0"/>
          <w:i w:val="0"/>
        </w:rPr>
        <w:t>1.000</w:t>
      </w:r>
      <w:r>
        <w:rPr>
          <w:b w:val="0"/>
          <w:i w:val="0"/>
        </w:rPr>
        <w:t xml:space="preserve"> </w:t>
      </w:r>
      <w:r>
        <w:rPr>
          <w:b w:val="0"/>
          <w:i w:val="0"/>
        </w:rPr>
        <w:t xml:space="preserve"> mm total. Thickness is proportional in the section; line direction indicates angle, not a stress field.</w:t>
      </w:r>
    </w:p>
    <w:p>
      <w:pPr>
        <w:keepNext w:val="0"/>
        <w:jc w:val="center"/>
      </w:pPr>
      <w:r>
        <w:drawing>
          <wp:inline xmlns:a="http://schemas.openxmlformats.org/drawingml/2006/main" xmlns:pic="http://schemas.openxmlformats.org/drawingml/2006/picture">
            <wp:extent cx="6217920" cy="2908382"/>
            <wp:docPr id="25" name="Picture 25" descr="CDS workflow or model illustration"/>
            <wp:cNvGraphicFramePr>
              <a:graphicFrameLocks noChangeAspect="1"/>
            </wp:cNvGraphicFramePr>
            <a:graphic>
              <a:graphicData uri="http://schemas.openxmlformats.org/drawingml/2006/picture">
                <pic:pic>
                  <pic:nvPicPr>
                    <pic:cNvPr id="0" name="rsvg-2ba7544da96804b85dae811f3da1b278afcdbafe051bd05b2a9e7c199cd568d4.png"/>
                    <pic:cNvPicPr/>
                  </pic:nvPicPr>
                  <pic:blipFill>
                    <a:blip r:embed="rId53"/>
                    <a:stretch>
                      <a:fillRect/>
                    </a:stretch>
                  </pic:blipFill>
                  <pic:spPr>
                    <a:xfrm>
                      <a:off x="0" y="0"/>
                      <a:ext cx="6217920" cy="2908382"/>
                    </a:xfrm>
                    <a:prstGeom prst="rect"/>
                  </pic:spPr>
                </pic:pic>
              </a:graphicData>
            </a:graphic>
          </wp:inline>
        </w:drawing>
      </w:r>
    </w:p>
    <w:p>
      <w:pPr/>
      <w:r>
        <w:rPr>
          <w:b w:val="0"/>
          <w:i w:val="0"/>
        </w:rPr>
        <w:t>[θ / −θ / 0 / 90 / 90 / 0 / −θ / θ]</w:t>
      </w:r>
    </w:p>
    <w:p>
      <w:pPr/>
      <w:hyperlink r:id="rId16">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Create a lamina</w:t>
      </w:r>
    </w:p>
    <w:p>
      <w:pPr/>
      <w:r>
        <w:rPr>
          <w:b w:val="0"/>
          <w:i w:val="0"/>
        </w:rPr>
        <w:t>Create or duplicate a lamina record, then connect its constituent materials through the editor selectors. Material filters can limit selections to a virtual material family.</w:t>
      </w:r>
    </w:p>
    <w:p>
      <w:pPr>
        <w:pStyle w:val="ListBullet"/>
      </w:pPr>
      <w:r>
        <w:rPr>
          <w:b w:val="0"/>
          <w:i w:val="0"/>
        </w:rPr>
        <w:t>Select the lamina type.</w:t>
      </w:r>
      <w:r>
        <w:rPr>
          <w:b w:val="0"/>
          <w:i w:val="0"/>
        </w:rPr>
        <w:t xml:space="preserve"> </w:t>
      </w:r>
      <w:r>
        <w:rPr>
          <w:b w:val="0"/>
          <w:i w:val="0"/>
        </w:rPr>
        <w:t xml:space="preserve"> </w:t>
      </w:r>
      <w:hyperlink r:id="rId54">
        <w:r>
          <w:rPr>
            <w:color w:val="176EA4"/>
          </w:rPr>
          <w:t>See screenshot</w:t>
        </w:r>
      </w:hyperlink>
      <w:r>
        <w:t xml:space="preserve"> </w:t>
      </w:r>
    </w:p>
    <w:p>
      <w:pPr>
        <w:pStyle w:val="ListBullet"/>
      </w:pPr>
      <w:r>
        <w:rPr>
          <w:b w:val="0"/>
          <w:i w:val="0"/>
        </w:rPr>
        <w:t>Choose constituent materials.</w:t>
      </w:r>
    </w:p>
    <w:p>
      <w:pPr>
        <w:pStyle w:val="ListBullet"/>
      </w:pPr>
      <w:r>
        <w:rPr>
          <w:b w:val="0"/>
          <w:i w:val="0"/>
        </w:rPr>
        <w:t>Enter architecture and volume-fraction inputs.</w:t>
      </w:r>
    </w:p>
    <w:p>
      <w:pPr>
        <w:pStyle w:val="ListBullet"/>
      </w:pPr>
      <w:r>
        <w:rPr>
          <w:b w:val="0"/>
          <w:i w:val="0"/>
        </w:rPr>
        <w:t>Review constituent references in the editor and model summary.</w:t>
      </w:r>
    </w:p>
    <w:p>
      <w:pPr>
        <w:keepNext w:val="0"/>
        <w:jc w:val="center"/>
      </w:pPr>
      <w:r>
        <w:drawing>
          <wp:inline xmlns:a="http://schemas.openxmlformats.org/drawingml/2006/main" xmlns:pic="http://schemas.openxmlformats.org/drawingml/2006/picture">
            <wp:extent cx="6217920" cy="4897347"/>
            <wp:docPr id="26" name="Picture 26" descr="Microstructure &amp; Model selects the architecture and compatible model. Materials and Composition &amp; Geometry are separate input tabs."/>
            <wp:cNvGraphicFramePr>
              <a:graphicFrameLocks noChangeAspect="1"/>
            </wp:cNvGraphicFramePr>
            <a:graphic>
              <a:graphicData uri="http://schemas.openxmlformats.org/drawingml/2006/picture">
                <pic:pic>
                  <pic:nvPicPr>
                    <pic:cNvPr id="0" name="56a1bd74d21d0691e23c163a8ea3b1f5fef6777ca1f240ad2de3993c21d1cf84.png"/>
                    <pic:cNvPicPr/>
                  </pic:nvPicPr>
                  <pic:blipFill>
                    <a:blip r:embed="rId23"/>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1</w:t>
      </w:r>
      <w:r>
        <w:rPr>
          <w:b/>
          <w:i w:val="0"/>
        </w:rPr>
        <w:t xml:space="preserve"> </w:t>
      </w:r>
      <w:r>
        <w:rPr>
          <w:b/>
          <w:i w:val="0"/>
        </w:rPr>
        <w:t xml:space="preserve"> · </w:t>
      </w:r>
      <w:r>
        <w:rPr>
          <w:b w:val="0"/>
          <w:i w:val="0"/>
        </w:rPr>
        <w:t>Microstructure &amp; Model selects the architecture and compatible model. Materials and Composition &amp; Geometry are separate input tabs.</w:t>
      </w:r>
      <w:r>
        <w:rPr>
          <w:b w:val="0"/>
          <w:i w:val="0"/>
        </w:rPr>
        <w:t xml:space="preserve"> </w:t>
      </w:r>
      <w:r>
        <w:rPr>
          <w:b w:val="0"/>
          <w:i w:val="0"/>
        </w:rPr>
        <w:t xml:space="preserve"> </w:t>
      </w:r>
      <w:hyperlink r:id="rId24">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jc w:val="center"/>
      </w:pPr>
      <w:r>
        <w:drawing>
          <wp:inline xmlns:a="http://schemas.openxmlformats.org/drawingml/2006/main" xmlns:pic="http://schemas.openxmlformats.org/drawingml/2006/picture">
            <wp:extent cx="6217920" cy="5080361"/>
            <wp:docPr id="27" name="Picture 27" descr="DISCOVER twill fabric unit-cell GUI"/>
            <wp:cNvGraphicFramePr>
              <a:graphicFrameLocks noChangeAspect="1"/>
            </wp:cNvGraphicFramePr>
            <a:graphic>
              <a:graphicData uri="http://schemas.openxmlformats.org/drawingml/2006/picture">
                <pic:pic>
                  <pic:nvPicPr>
                    <pic:cNvPr id="0" name="6924e77333e34abbd40c8b9aac70d16f85459e7fbc7df344f10bb76e3587da50.png"/>
                    <pic:cNvPicPr/>
                  </pic:nvPicPr>
                  <pic:blipFill>
                    <a:blip r:embed="rId55"/>
                    <a:stretch>
                      <a:fillRect/>
                    </a:stretch>
                  </pic:blipFill>
                  <pic:spPr>
                    <a:xfrm>
                      <a:off x="0" y="0"/>
                      <a:ext cx="6217920" cy="5080361"/>
                    </a:xfrm>
                    <a:prstGeom prst="rect"/>
                  </pic:spPr>
                </pic:pic>
              </a:graphicData>
            </a:graphic>
          </wp:inline>
        </w:drawing>
      </w:r>
    </w:p>
    <w:p>
      <w:pPr>
        <w:pStyle w:val="Caption"/>
      </w:pPr>
      <w:r>
        <w:rPr>
          <w:b w:val="0"/>
          <w:i w:val="0"/>
        </w:rPr>
        <w:t>Woven fabric detail: rotate a cell or repeat it into a tiled patch. This local Workbench component capture shows illustrative yarn surfaces; missing dimensions are listed under Geometry inputs &amp; assumptions. The same viewer is available in Micro and Live Stack.</w:t>
      </w:r>
      <w:r>
        <w:rPr>
          <w:b w:val="0"/>
          <w:i w:val="0"/>
        </w:rPr>
        <w:t xml:space="preserve"> </w:t>
      </w:r>
      <w:r>
        <w:rPr>
          <w:b w:val="0"/>
          <w:i w:val="0"/>
        </w:rPr>
        <w:t xml:space="preserve"> </w:t>
      </w:r>
      <w:hyperlink r:id="rId56">
        <w:r>
          <w:rPr>
            <w:color w:val="176EA4"/>
          </w:rPr>
          <w:t>Open full size </w:t>
        </w:r>
      </w:hyperlink>
      <w:r>
        <w:t xml:space="preserve"> </w:t>
      </w:r>
      <w:r>
        <w:rPr>
          <w:b w:val="0"/>
          <w:i w:val="0"/>
        </w:rPr>
        <w:t xml:space="preserve">GUI capture · </w:t>
      </w:r>
      <w:r>
        <w:rPr>
          <w:b w:val="0"/>
          <w:i w:val="0"/>
        </w:rPr>
        <w:t xml:space="preserve"> </w:t>
      </w:r>
      <w:r>
        <w:rPr>
          <w:b w:val="0"/>
          <w:i w:val="0"/>
        </w:rPr>
        <w:t>September 17, 2026</w:t>
      </w:r>
      <w:r>
        <w:rPr>
          <w:b w:val="0"/>
          <w:i w:val="0"/>
        </w:rPr>
        <w:t xml:space="preserve"> </w:t>
      </w:r>
      <w:r>
        <w:rPr>
          <w:b w:val="0"/>
          <w:i w:val="0"/>
        </w:rPr>
        <w:t>. Control locations may differ in later releases; not benchmark evidence.</w:t>
      </w:r>
      <w:r>
        <w:t xml:space="preserve"> </w:t>
      </w:r>
    </w:p>
    <w:p>
      <w:pPr>
        <w:pStyle w:val="Heading2"/>
      </w:pPr>
      <w:r>
        <w:t>Organize laminate families</w:t>
      </w:r>
    </w:p>
    <w:p>
      <w:pPr/>
      <w:r>
        <w:rPr>
          <w:b w:val="0"/>
          <w:i w:val="0"/>
        </w:rPr>
        <w:t>Create virtual folders under Laminates to group conventional, Double-Double, program-specific, or qualification laminates. The protected Conventional Laminates folder remains available as a base family.</w:t>
      </w:r>
    </w:p>
    <w:p>
      <w:pPr>
        <w:keepNext/>
        <w:jc w:val="center"/>
      </w:pPr>
      <w:r>
        <w:drawing>
          <wp:inline xmlns:a="http://schemas.openxmlformats.org/drawingml/2006/main" xmlns:pic="http://schemas.openxmlformats.org/drawingml/2006/picture">
            <wp:extent cx="6217920" cy="3497580"/>
            <wp:docPr id="28" name="Picture 28" descr="The Laminates branch organizes families; the selected laminate opens its ply table and LiveStack."/>
            <wp:cNvGraphicFramePr>
              <a:graphicFrameLocks noChangeAspect="1"/>
            </wp:cNvGraphicFramePr>
            <a:graphic>
              <a:graphicData uri="http://schemas.openxmlformats.org/drawingml/2006/picture">
                <pic:pic>
                  <pic:nvPicPr>
                    <pic:cNvPr id="0" name="b98b322234bb1808339ffb732da1d404fea2cc3b4b018147cf6bc9be08c7b09f.png"/>
                    <pic:cNvPicPr/>
                  </pic:nvPicPr>
                  <pic:blipFill>
                    <a:blip r:embed="rId25"/>
                    <a:stretch>
                      <a:fillRect/>
                    </a:stretch>
                  </pic:blipFill>
                  <pic:spPr>
                    <a:xfrm>
                      <a:off x="0" y="0"/>
                      <a:ext cx="6217920" cy="3497580"/>
                    </a:xfrm>
                    <a:prstGeom prst="rect"/>
                  </pic:spPr>
                </pic:pic>
              </a:graphicData>
            </a:graphic>
          </wp:inline>
        </w:drawing>
      </w:r>
    </w:p>
    <w:p>
      <w:pPr>
        <w:pStyle w:val="Caption"/>
      </w:pPr>
      <w:r>
        <w:rPr>
          <w:b w:val="0"/>
          <w:i w:val="0"/>
        </w:rPr>
        <w:t>The Laminates branch organizes families; the selected laminate opens its ply table and LiveStack.</w:t>
      </w:r>
      <w:r>
        <w:rPr>
          <w:b w:val="0"/>
          <w:i w:val="0"/>
        </w:rPr>
        <w:t xml:space="preserve"> </w:t>
      </w:r>
      <w:r>
        <w:rPr>
          <w:b w:val="0"/>
          <w:i w:val="0"/>
        </w:rPr>
        <w:t xml:space="preserve"> </w:t>
      </w:r>
      <w:hyperlink r:id="rId2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pStyle w:val="Heading2"/>
      </w:pPr>
      <w:r>
        <w:t>Use the compact laminate editor</w:t>
      </w:r>
    </w:p>
    <w:p>
      <w:pPr/>
      <w:r>
        <w:rPr>
          <w:b w:val="0"/>
          <w:i w:val="0"/>
        </w:rPr>
        <w:t>The setup inputs and laminate status are condensed above the ply table. Select each lamina, set its angle with the −90° to +90° popup slider in 5° increments, and enter a thickness greater than zero. LiveStack defaults to angle coloring; switch to material coloring when checking sources.</w:t>
      </w:r>
    </w:p>
    <w:p>
      <w:pPr>
        <w:keepNext/>
        <w:jc w:val="center"/>
      </w:pPr>
      <w:r>
        <w:drawing>
          <wp:inline xmlns:a="http://schemas.openxmlformats.org/drawingml/2006/main" xmlns:pic="http://schemas.openxmlformats.org/drawingml/2006/picture">
            <wp:extent cx="6217920" cy="3497580"/>
            <wp:docPr id="29" name="Picture 29" descr="Read each row across: source, material or solved lamina, angle, thickness and visibility. LiveStack shows the resulting sequence."/>
            <wp:cNvGraphicFramePr>
              <a:graphicFrameLocks noChangeAspect="1"/>
            </wp:cNvGraphicFramePr>
            <a:graphic>
              <a:graphicData uri="http://schemas.openxmlformats.org/drawingml/2006/picture">
                <pic:pic>
                  <pic:nvPicPr>
                    <pic:cNvPr id="0" name="b98b322234bb1808339ffb732da1d404fea2cc3b4b018147cf6bc9be08c7b09f.png"/>
                    <pic:cNvPicPr/>
                  </pic:nvPicPr>
                  <pic:blipFill>
                    <a:blip r:embed="rId25"/>
                    <a:stretch>
                      <a:fillRect/>
                    </a:stretch>
                  </pic:blipFill>
                  <pic:spPr>
                    <a:xfrm>
                      <a:off x="0" y="0"/>
                      <a:ext cx="6217920" cy="3497580"/>
                    </a:xfrm>
                    <a:prstGeom prst="rect"/>
                  </pic:spPr>
                </pic:pic>
              </a:graphicData>
            </a:graphic>
          </wp:inline>
        </w:drawing>
      </w:r>
    </w:p>
    <w:p>
      <w:pPr>
        <w:pStyle w:val="Caption"/>
      </w:pPr>
      <w:r>
        <w:rPr>
          <w:b w:val="0"/>
          <w:i w:val="0"/>
        </w:rPr>
        <w:t>Read each row across: source, material or solved lamina, angle, thickness and visibility. LiveStack shows the resulting sequence.</w:t>
      </w:r>
      <w:r>
        <w:rPr>
          <w:b w:val="0"/>
          <w:i w:val="0"/>
        </w:rPr>
        <w:t xml:space="preserve"> </w:t>
      </w:r>
      <w:r>
        <w:rPr>
          <w:b w:val="0"/>
          <w:i w:val="0"/>
        </w:rPr>
        <w:t xml:space="preserve"> </w:t>
      </w:r>
      <w:hyperlink r:id="rId2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A zero ply thickness is invalid and cannot be submitted to the solver.</w:t>
      </w:r>
    </w:p>
    <w:p>
      <w:pPr>
        <w:pStyle w:val="Heading2"/>
      </w:pPr>
      <w:r>
        <w:t>Apply laminate relations</w:t>
      </w:r>
    </w:p>
    <w:p>
      <w:pPr/>
      <w:r>
        <w:rPr>
          <w:b w:val="0"/>
          <w:i w:val="0"/>
        </w:rPr>
        <w:t>Apply Symmetry, Apply Balance, and Apply DD sit with their matching status indicators above the table. Each action updates the stack toward the indicated relation and becomes disabled when the current laminate already satisfies it or already matches the predicted DD stack.</w:t>
      </w:r>
    </w:p>
    <w:p>
      <w:pPr>
        <w:keepNext/>
        <w:jc w:val="center"/>
      </w:pPr>
      <w:r>
        <w:drawing>
          <wp:inline xmlns:a="http://schemas.openxmlformats.org/drawingml/2006/main" xmlns:pic="http://schemas.openxmlformats.org/drawingml/2006/picture">
            <wp:extent cx="6217920" cy="3497580"/>
            <wp:docPr id="30" name="Picture 30" descr="Relation indicators and actions sit above the ply table. Review the updated stack after applying a relation."/>
            <wp:cNvGraphicFramePr>
              <a:graphicFrameLocks noChangeAspect="1"/>
            </wp:cNvGraphicFramePr>
            <a:graphic>
              <a:graphicData uri="http://schemas.openxmlformats.org/drawingml/2006/picture">
                <pic:pic>
                  <pic:nvPicPr>
                    <pic:cNvPr id="0" name="b98b322234bb1808339ffb732da1d404fea2cc3b4b018147cf6bc9be08c7b09f.png"/>
                    <pic:cNvPicPr/>
                  </pic:nvPicPr>
                  <pic:blipFill>
                    <a:blip r:embed="rId25"/>
                    <a:stretch>
                      <a:fillRect/>
                    </a:stretch>
                  </pic:blipFill>
                  <pic:spPr>
                    <a:xfrm>
                      <a:off x="0" y="0"/>
                      <a:ext cx="6217920" cy="3497580"/>
                    </a:xfrm>
                    <a:prstGeom prst="rect"/>
                  </pic:spPr>
                </pic:pic>
              </a:graphicData>
            </a:graphic>
          </wp:inline>
        </w:drawing>
      </w:r>
    </w:p>
    <w:p>
      <w:pPr>
        <w:pStyle w:val="Caption"/>
      </w:pPr>
      <w:r>
        <w:rPr>
          <w:b w:val="0"/>
          <w:i w:val="0"/>
        </w:rPr>
        <w:t>Relation indicators and actions sit above the ply table. Review the updated stack after applying a relation.</w:t>
      </w:r>
      <w:r>
        <w:rPr>
          <w:b w:val="0"/>
          <w:i w:val="0"/>
        </w:rPr>
        <w:t xml:space="preserve"> </w:t>
      </w:r>
      <w:r>
        <w:rPr>
          <w:b w:val="0"/>
          <w:i w:val="0"/>
        </w:rPr>
        <w:t xml:space="preserve"> </w:t>
      </w:r>
      <w:hyperlink r:id="rId2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pStyle w:val="Heading2"/>
      </w:pPr>
      <w:r>
        <w:t>Fill from the selected cell</w:t>
      </w:r>
    </w:p>
    <w:p>
      <w:pPr/>
      <w:r>
        <w:rPr>
          <w:b w:val="0"/>
          <w:i w:val="0"/>
        </w:rPr>
        <w:t>In the single-laminate ply table, select or right-click the source cell. The row, column and cell highlight show the target. Fill entire column from ply copies that cell’s value to every ply in that column, including rows above the source.</w:t>
      </w:r>
    </w:p>
    <w:p>
      <w:pPr>
        <w:pStyle w:val="ListBullet"/>
      </w:pPr>
      <w:r>
        <w:rPr>
          <w:b w:val="0"/>
          <w:i w:val="0"/>
        </w:rPr>
        <w:t>Check the source ply and column named in the menu or toolbar tooltip.</w:t>
      </w:r>
    </w:p>
    <w:p>
      <w:pPr>
        <w:pStyle w:val="ListBullet"/>
      </w:pPr>
      <w:r>
        <w:rPr>
          <w:b w:val="0"/>
          <w:i w:val="0"/>
        </w:rPr>
        <w:t>Choose Fill only after confirming that every ply should receive that value.</w:t>
      </w:r>
    </w:p>
    <w:p>
      <w:pPr>
        <w:pStyle w:val="ListBullet"/>
      </w:pPr>
      <w:r>
        <w:rPr>
          <w:b w:val="0"/>
          <w:i w:val="0"/>
        </w:rPr>
        <w:t>Review the full sequence and save only when intended. Invert and Symmetry act on their selected column too.</w:t>
      </w:r>
    </w:p>
    <w:p>
      <w:pPr>
        <w:keepNext/>
      </w:pPr>
      <w:r>
        <w:t>Good practice</w:t>
      </w:r>
    </w:p>
    <w:p>
      <w:pPr/>
      <w:r>
        <w:rPr>
          <w:b w:val="0"/>
          <w:i w:val="0"/>
        </w:rPr>
        <w:t>The multi-laminate comparison table has a different orientation: rows are laminates and columns are ply positions. Its Fill column from first value acts across the selected laminates, not down the plies of one stack.</w:t>
      </w:r>
    </w:p>
    <w:p>
      <w:pPr>
        <w:pStyle w:val="Heading2"/>
      </w:pPr>
      <w:r>
        <w:t>Start from common layups</w:t>
      </w:r>
    </w:p>
    <w:p>
      <w:pPr/>
      <w:r>
        <w:rPr>
          <w:b w:val="0"/>
          <w:i w:val="0"/>
        </w:rPr>
        <w:t>Use the available templates for unidirectional, cross-ply, and quasi-isotropic stacks. When compatible, the editor can propose a stiffness-matched Double-Double candidate for comparison.</w:t>
      </w:r>
    </w:p>
    <w:p>
      <w:pPr>
        <w:keepNext/>
        <w:jc w:val="center"/>
      </w:pPr>
      <w:r>
        <w:drawing>
          <wp:inline xmlns:a="http://schemas.openxmlformats.org/drawingml/2006/main" xmlns:pic="http://schemas.openxmlformats.org/drawingml/2006/picture">
            <wp:extent cx="6217920" cy="3497580"/>
            <wp:docPr id="31" name="Picture 31" descr="The layup preset selector is above the material column, beside the ply-count control."/>
            <wp:cNvGraphicFramePr>
              <a:graphicFrameLocks noChangeAspect="1"/>
            </wp:cNvGraphicFramePr>
            <a:graphic>
              <a:graphicData uri="http://schemas.openxmlformats.org/drawingml/2006/picture">
                <pic:pic>
                  <pic:nvPicPr>
                    <pic:cNvPr id="0" name="b98b322234bb1808339ffb732da1d404fea2cc3b4b018147cf6bc9be08c7b09f.png"/>
                    <pic:cNvPicPr/>
                  </pic:nvPicPr>
                  <pic:blipFill>
                    <a:blip r:embed="rId25"/>
                    <a:stretch>
                      <a:fillRect/>
                    </a:stretch>
                  </pic:blipFill>
                  <pic:spPr>
                    <a:xfrm>
                      <a:off x="0" y="0"/>
                      <a:ext cx="6217920" cy="3497580"/>
                    </a:xfrm>
                    <a:prstGeom prst="rect"/>
                  </pic:spPr>
                </pic:pic>
              </a:graphicData>
            </a:graphic>
          </wp:inline>
        </w:drawing>
      </w:r>
    </w:p>
    <w:p>
      <w:pPr>
        <w:pStyle w:val="Caption"/>
      </w:pPr>
      <w:r>
        <w:rPr>
          <w:b w:val="0"/>
          <w:i w:val="0"/>
        </w:rPr>
        <w:t>The layup preset selector is above the material column, beside the ply-count control.</w:t>
      </w:r>
      <w:r>
        <w:rPr>
          <w:b w:val="0"/>
          <w:i w:val="0"/>
        </w:rPr>
        <w:t xml:space="preserve"> </w:t>
      </w:r>
      <w:r>
        <w:rPr>
          <w:b w:val="0"/>
          <w:i w:val="0"/>
        </w:rPr>
        <w:t xml:space="preserve"> </w:t>
      </w:r>
      <w:hyperlink r:id="rId2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pStyle w:val="Heading2"/>
      </w:pPr>
      <w:r>
        <w:t>Review effective properties</w:t>
      </w:r>
    </w:p>
    <w:p>
      <w:pPr/>
      <w:r>
        <w:rPr>
          <w:b w:val="0"/>
          <w:i w:val="0"/>
        </w:rPr>
        <w:t>Lamina and laminate Results use Table, Ashby, Bar, and Line views. A single selection shows that record’s predicted property indicators. Multiple selections produce a table with properties as rows and selected laminas or laminates as columns.</w:t>
      </w:r>
    </w:p>
    <w:p>
      <w:pPr>
        <w:pStyle w:val="Heading2"/>
      </w:pPr>
      <w:r>
        <w:t>Create a material from effective results</w:t>
      </w:r>
    </w:p>
    <w:p>
      <w:pPr/>
      <w:r>
        <w:rPr>
          <w:b w:val="0"/>
          <w:i w:val="0"/>
        </w:rPr>
        <w:t>Open Create Material in a lamina or laminate result view, then choose the destination material class. The dialog proposes the source lamina or laminate name and lets you rename the new record.</w:t>
      </w:r>
    </w:p>
    <w:p>
      <w:pPr>
        <w:pStyle w:val="ListBullet"/>
      </w:pPr>
      <w:r>
        <w:rPr>
          <w:b w:val="0"/>
          <w:i w:val="0"/>
        </w:rPr>
        <w:t>Choose the target class so its relevant property assumptions are available.</w:t>
      </w:r>
    </w:p>
    <w:p>
      <w:pPr>
        <w:pStyle w:val="ListBullet"/>
      </w:pPr>
      <w:r>
        <w:rPr>
          <w:b w:val="0"/>
          <w:i w:val="0"/>
        </w:rPr>
        <w:t>Choose properties only or include source-identifying information.</w:t>
      </w:r>
    </w:p>
    <w:p>
      <w:pPr>
        <w:pStyle w:val="ListBullet"/>
      </w:pPr>
      <w:r>
        <w:rPr>
          <w:b w:val="0"/>
          <w:i w:val="0"/>
        </w:rPr>
        <w:t>Leave unpredicted properties empty or fill them with the selected class assumptions, such as tension equals compression.</w:t>
      </w:r>
    </w:p>
    <w:p>
      <w:pPr>
        <w:pStyle w:val="ListBullet"/>
      </w:pPr>
      <w:r>
        <w:rPr>
          <w:b w:val="0"/>
          <w:i w:val="0"/>
        </w:rPr>
        <w:t>Review the new material record before using it in another model.</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6" w:name="chapter_6"/>
      <w:pPr>
        <w:pStyle w:val="Heading1"/>
        <w:pageBreakBefore/>
      </w:pPr>
      <w:r>
        <w:t>6 Create and manage material records</w:t>
      </w:r>
      <w:bookmarkEnd w:id="6"/>
    </w:p>
    <w:p>
      <w:pPr>
        <w:pStyle w:val="Caption"/>
      </w:pPr>
      <w:hyperlink r:id="rId57">
        <w:r>
          <w:rPr>
            <w:color w:val="176EA4"/>
          </w:rPr>
          <w:t>Online chapter</w:t>
        </w:r>
      </w:hyperlink>
      <w:r>
        <w:t xml:space="preserve"> </w:t>
      </w:r>
    </w:p>
    <w:p>
      <w:pPr/>
      <w:r>
        <w:rPr>
          <w:b w:val="0"/>
          <w:i w:val="0"/>
        </w:rPr>
        <w:t>A practical guide to adding, editing, organizing, duplicating, and safely deleting materials.</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hyperlink r:id="rId16">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Research and import materials with ChatGPT</w:t>
      </w:r>
    </w:p>
    <w:p>
      <w:pPr/>
      <w:r>
        <w:rPr>
          <w:b w:val="0"/>
          <w:i w:val="0"/>
        </w:rPr>
        <w:t>In Workbench, choose Material → Find / Import with AI. This is a local review workflow, not an automatic web-search or PDF-extraction service inside CDS.</w:t>
      </w:r>
    </w:p>
    <w:p>
      <w:pPr>
        <w:pStyle w:val="ListBullet"/>
      </w:pPr>
      <w:r>
        <w:rPr>
          <w:b w:val="0"/>
          <w:i w:val="0"/>
        </w:rPr>
        <w:t>Enter the grades or properties you need and copy the research prompt. Paste it into ChatGPT, using manufacturer datasheets or primary publications. Attach private documents there only if you intend to share them with that service.</w:t>
      </w:r>
    </w:p>
    <w:p>
      <w:pPr>
        <w:pStyle w:val="ListBullet"/>
      </w:pPr>
      <w:r>
        <w:rPr>
          <w:b w:val="0"/>
          <w:i w:val="0"/>
        </w:rPr>
        <w:t>Download the JSON template if needed. Bring the structured JSON response back to Workbench through Choose research JSON or paste it and select Load JSON for review.</w:t>
      </w:r>
    </w:p>
    <w:p>
      <w:pPr>
        <w:pStyle w:val="ListBullet"/>
      </w:pPr>
      <w:r>
        <w:rPr>
          <w:b w:val="0"/>
          <w:i w:val="0"/>
        </w:rPr>
        <w:t>Optionally attach up to three local PDF, PNG or JPEG datasheets for comparison. They are not uploaded or automatically extracted. A manual review card is available for direct entry.</w:t>
      </w:r>
    </w:p>
    <w:p>
      <w:pPr>
        <w:pStyle w:val="ListBullet"/>
      </w:pPr>
      <w:r>
        <w:rPr>
          <w:b w:val="0"/>
          <w:i w:val="0"/>
        </w:rPr>
        <w:t>Review material identity, constitutive symmetry, original and converted units, each source document and page/table, and test conditions. Correct or deselect unsupported values. Keep different temperatures, cure states and product forms in separate records.</w:t>
      </w:r>
    </w:p>
    <w:p>
      <w:pPr>
        <w:pStyle w:val="ListBullet"/>
      </w:pPr>
      <w:r>
        <w:rPr>
          <w:b w:val="0"/>
          <w:i w:val="0"/>
        </w:rPr>
        <w:t>Select the properties you verified. Conflicting values require choosing one per property. Unknown values are not converted to zero; estimated values require explicit opt-in.</w:t>
      </w:r>
    </w:p>
    <w:p>
      <w:pPr>
        <w:pStyle w:val="ListBullet"/>
      </w:pPr>
      <w:r>
        <w:rPr>
          <w:b w:val="0"/>
          <w:i w:val="0"/>
        </w:rPr>
        <w:t>Choose an existing material folder or create an import class. Confirm the review acknowledgement, then import new records. Existing materials are never overwritten.</w:t>
      </w:r>
    </w:p>
    <w:p>
      <w:pPr>
        <w:pStyle w:val="ListBullet"/>
      </w:pPr>
      <w:r>
        <w:rPr>
          <w:b w:val="0"/>
          <w:i w:val="0"/>
        </w:rPr>
        <w:t>Expand Imported property evidence in the material source panel to review original values and references. Later edits are marked as changed relative to the import snapshot. Save the workspace as CDS_DB to retain the new records.</w:t>
      </w:r>
    </w:p>
    <w:p>
      <w:pPr>
        <w:keepNext/>
      </w:pPr>
      <w:r>
        <w:t>Good practice</w:t>
      </w:r>
    </w:p>
    <w:p>
      <w:pPr/>
      <w:r>
        <w:rPr>
          <w:b w:val="0"/>
          <w:i w:val="0"/>
        </w:rPr>
        <w:t>AI research and format validation do not establish qualified design allowables. Check every source before engineering use. Download a review draft before leaving if review is incomplete. Source files are not embedded in CDS_DB: retain originals separately; the import stores their filenames and SHA-256 fingerprints.</w:t>
      </w:r>
    </w:p>
    <w:p>
      <w:pPr>
        <w:pStyle w:val="Heading2"/>
      </w:pPr>
      <w:r>
        <w:t>Add materials</w:t>
      </w:r>
    </w:p>
    <w:p>
      <w:pPr/>
      <w:r>
        <w:rPr>
          <w:b w:val="0"/>
          <w:i w:val="0"/>
        </w:rPr>
        <w:t>Right-click Materials or an allowed material folder and choose Create. Enter a clear title and select the material class so the record appears in the correct virtual folder.</w:t>
      </w:r>
    </w:p>
    <w:p>
      <w:pPr>
        <w:pStyle w:val="ListBullet"/>
      </w:pPr>
      <w:r>
        <w:rPr>
          <w:b w:val="0"/>
          <w:i w:val="0"/>
        </w:rPr>
        <w:t>Choose Fiber, Polymer, Metal, Elastomer, or Core &amp; Filler.</w:t>
      </w:r>
    </w:p>
    <w:p>
      <w:pPr>
        <w:pStyle w:val="ListBullet"/>
      </w:pPr>
      <w:r>
        <w:rPr>
          <w:b w:val="0"/>
          <w:i w:val="0"/>
        </w:rPr>
        <w:t>Enter source and identification details.</w:t>
      </w:r>
      <w:r>
        <w:rPr>
          <w:b w:val="0"/>
          <w:i w:val="0"/>
        </w:rPr>
        <w:t xml:space="preserve"> </w:t>
      </w:r>
      <w:r>
        <w:rPr>
          <w:b w:val="0"/>
          <w:i w:val="0"/>
        </w:rPr>
        <w:t xml:space="preserve"> </w:t>
      </w:r>
      <w:hyperlink r:id="rId58">
        <w:r>
          <w:rPr>
            <w:color w:val="176EA4"/>
          </w:rPr>
          <w:t>See screenshot</w:t>
        </w:r>
      </w:hyperlink>
      <w:r>
        <w:t xml:space="preserve"> </w:t>
      </w:r>
    </w:p>
    <w:p>
      <w:pPr>
        <w:pStyle w:val="ListBullet"/>
      </w:pPr>
      <w:r>
        <w:rPr>
          <w:b w:val="0"/>
          <w:i w:val="0"/>
        </w:rPr>
        <w:t>Populate the applicable property groups.</w:t>
      </w:r>
      <w:r>
        <w:rPr>
          <w:b w:val="0"/>
          <w:i w:val="0"/>
        </w:rPr>
        <w:t xml:space="preserve"> </w:t>
      </w:r>
      <w:r>
        <w:rPr>
          <w:b w:val="0"/>
          <w:i w:val="0"/>
        </w:rPr>
        <w:t xml:space="preserve"> </w:t>
      </w:r>
      <w:hyperlink r:id="rId58">
        <w:r>
          <w:rPr>
            <w:color w:val="176EA4"/>
          </w:rPr>
          <w:t>See screenshot</w:t>
        </w:r>
      </w:hyperlink>
      <w:r>
        <w:t xml:space="preserve"> </w:t>
      </w:r>
    </w:p>
    <w:p>
      <w:pPr>
        <w:pStyle w:val="ListBullet"/>
      </w:pPr>
      <w:r>
        <w:rPr>
          <w:b w:val="0"/>
          <w:i w:val="0"/>
        </w:rPr>
        <w:t>Save the new record and verify its folder classification.</w:t>
      </w:r>
      <w:r>
        <w:rPr>
          <w:b w:val="0"/>
          <w:i w:val="0"/>
        </w:rPr>
        <w:t xml:space="preserve"> </w:t>
      </w:r>
      <w:r>
        <w:rPr>
          <w:b w:val="0"/>
          <w:i w:val="0"/>
        </w:rPr>
        <w:t xml:space="preserve"> </w:t>
      </w:r>
      <w:hyperlink r:id="rId58">
        <w:r>
          <w:rPr>
            <w:color w:val="176EA4"/>
          </w:rPr>
          <w:t>See screenshot</w:t>
        </w:r>
      </w:hyperlink>
      <w:r>
        <w:t xml:space="preserve"> </w:t>
      </w:r>
    </w:p>
    <w:p>
      <w:pPr>
        <w:keepNext w:val="0"/>
        <w:jc w:val="center"/>
      </w:pPr>
      <w:r>
        <w:drawing>
          <wp:inline xmlns:a="http://schemas.openxmlformats.org/drawingml/2006/main" xmlns:pic="http://schemas.openxmlformats.org/drawingml/2006/picture">
            <wp:extent cx="6217920" cy="2662460"/>
            <wp:docPr id="32" name="Picture 32" descr="Right-click Materials to create a material family or an unfiled material."/>
            <wp:cNvGraphicFramePr>
              <a:graphicFrameLocks noChangeAspect="1"/>
            </wp:cNvGraphicFramePr>
            <a:graphic>
              <a:graphicData uri="http://schemas.openxmlformats.org/drawingml/2006/picture">
                <pic:pic>
                  <pic:nvPicPr>
                    <pic:cNvPr id="0" name="b7a3cd037863316cac071fe23b22518beccc72a56c9a6ba6f05dc7ea1f879be6.png"/>
                    <pic:cNvPicPr/>
                  </pic:nvPicPr>
                  <pic:blipFill>
                    <a:blip r:embed="rId59"/>
                    <a:stretch>
                      <a:fillRect/>
                    </a:stretch>
                  </pic:blipFill>
                  <pic:spPr>
                    <a:xfrm>
                      <a:off x="0" y="0"/>
                      <a:ext cx="6217920" cy="2662460"/>
                    </a:xfrm>
                    <a:prstGeom prst="rect"/>
                  </pic:spPr>
                </pic:pic>
              </a:graphicData>
            </a:graphic>
          </wp:inline>
        </w:drawing>
      </w:r>
    </w:p>
    <w:p>
      <w:pPr>
        <w:pStyle w:val="Caption"/>
      </w:pPr>
      <w:r>
        <w:rPr>
          <w:b w:val="0"/>
          <w:i w:val="0"/>
        </w:rPr>
        <w:t>Right-click Materials to create a material family or an unfiled material.</w:t>
      </w:r>
      <w:r>
        <w:rPr>
          <w:b w:val="0"/>
          <w:i w:val="0"/>
        </w:rPr>
        <w:t xml:space="preserve"> </w:t>
      </w:r>
      <w:r>
        <w:rPr>
          <w:b w:val="0"/>
          <w:i w:val="0"/>
        </w:rPr>
        <w:t xml:space="preserve"> </w:t>
      </w:r>
      <w:hyperlink r:id="rId6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jc w:val="center"/>
      </w:pPr>
      <w:r>
        <w:drawing>
          <wp:inline xmlns:a="http://schemas.openxmlformats.org/drawingml/2006/main" xmlns:pic="http://schemas.openxmlformats.org/drawingml/2006/picture">
            <wp:extent cx="6217920" cy="4304354"/>
            <wp:docPr id="33" name="Picture 33" descr="The material editor shows source provenance, property groups, units, locks and Save."/>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21"/>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2, 3, 4</w:t>
      </w:r>
      <w:r>
        <w:rPr>
          <w:b/>
          <w:i w:val="0"/>
        </w:rPr>
        <w:t xml:space="preserve"> </w:t>
      </w:r>
      <w:r>
        <w:rPr>
          <w:b/>
          <w:i w:val="0"/>
        </w:rPr>
        <w:t xml:space="preserve"> · </w:t>
      </w:r>
      <w:r>
        <w:rPr>
          <w:b w:val="0"/>
          <w:i w:val="0"/>
        </w:rPr>
        <w:t>The material editor shows source provenance, property groups, units, locks and Save.</w:t>
      </w:r>
      <w:r>
        <w:rPr>
          <w:b w:val="0"/>
          <w:i w:val="0"/>
        </w:rPr>
        <w:t xml:space="preserve"> </w:t>
      </w:r>
      <w:r>
        <w:rPr>
          <w:b w:val="0"/>
          <w:i w:val="0"/>
        </w:rPr>
        <w:t xml:space="preserve"> </w:t>
      </w:r>
      <w:hyperlink r:id="rId22">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Base material folders are protected. Create records inside them; do not try to replace the folders.</w:t>
      </w:r>
    </w:p>
    <w:p>
      <w:pPr>
        <w:pStyle w:val="Heading2"/>
      </w:pPr>
      <w:r>
        <w:t>Edit property values</w:t>
      </w:r>
    </w:p>
    <w:p>
      <w:pPr/>
      <w:r>
        <w:rPr>
          <w:b w:val="0"/>
          <w:i w:val="0"/>
        </w:rPr>
        <w:t>The material editor uses compact rows for variable ID, descriptor, value, units, and lock state. Hover over truncated descriptors for the full meaning.</w:t>
      </w:r>
    </w:p>
    <w:p>
      <w:pPr>
        <w:pStyle w:val="ListBullet"/>
      </w:pPr>
      <w:r>
        <w:rPr>
          <w:b w:val="0"/>
          <w:i w:val="0"/>
        </w:rPr>
        <w:t>Click the lock to enable editing.</w:t>
      </w:r>
      <w:r>
        <w:rPr>
          <w:b w:val="0"/>
          <w:i w:val="0"/>
        </w:rPr>
        <w:t xml:space="preserve"> </w:t>
      </w:r>
      <w:r>
        <w:rPr>
          <w:b w:val="0"/>
          <w:i w:val="0"/>
        </w:rPr>
        <w:t xml:space="preserve"> </w:t>
      </w:r>
      <w:hyperlink r:id="rId61">
        <w:r>
          <w:rPr>
            <w:color w:val="176EA4"/>
          </w:rPr>
          <w:t>See screenshot</w:t>
        </w:r>
      </w:hyperlink>
      <w:r>
        <w:t xml:space="preserve"> </w:t>
      </w:r>
    </w:p>
    <w:p>
      <w:pPr>
        <w:pStyle w:val="ListBullet"/>
      </w:pPr>
      <w:r>
        <w:rPr>
          <w:b w:val="0"/>
          <w:i w:val="0"/>
        </w:rPr>
        <w:t>Enter numeric values only in numeric fields.</w:t>
      </w:r>
      <w:r>
        <w:rPr>
          <w:b w:val="0"/>
          <w:i w:val="0"/>
        </w:rPr>
        <w:t xml:space="preserve"> </w:t>
      </w:r>
      <w:r>
        <w:rPr>
          <w:b w:val="0"/>
          <w:i w:val="0"/>
        </w:rPr>
        <w:t xml:space="preserve"> </w:t>
      </w:r>
      <w:hyperlink r:id="rId61">
        <w:r>
          <w:rPr>
            <w:color w:val="176EA4"/>
          </w:rPr>
          <w:t>See screenshot</w:t>
        </w:r>
      </w:hyperlink>
      <w:r>
        <w:t xml:space="preserve"> </w:t>
      </w:r>
    </w:p>
    <w:p>
      <w:pPr>
        <w:pStyle w:val="ListBullet"/>
      </w:pPr>
      <w:r>
        <w:rPr>
          <w:b w:val="0"/>
          <w:i w:val="0"/>
        </w:rPr>
        <w:t>Confirm units before leaving the row.</w:t>
      </w:r>
      <w:r>
        <w:rPr>
          <w:b w:val="0"/>
          <w:i w:val="0"/>
        </w:rPr>
        <w:t xml:space="preserve"> </w:t>
      </w:r>
      <w:r>
        <w:rPr>
          <w:b w:val="0"/>
          <w:i w:val="0"/>
        </w:rPr>
        <w:t xml:space="preserve"> </w:t>
      </w:r>
      <w:hyperlink r:id="rId61">
        <w:r>
          <w:rPr>
            <w:color w:val="176EA4"/>
          </w:rPr>
          <w:t>See screenshot</w:t>
        </w:r>
      </w:hyperlink>
      <w:r>
        <w:t xml:space="preserve"> </w:t>
      </w:r>
    </w:p>
    <w:p>
      <w:pPr>
        <w:pStyle w:val="ListBullet"/>
      </w:pPr>
      <w:r>
        <w:rPr>
          <w:b w:val="0"/>
          <w:i w:val="0"/>
        </w:rPr>
        <w:t>Use the value slider for bounded adjustments.</w:t>
      </w:r>
      <w:r>
        <w:rPr>
          <w:b w:val="0"/>
          <w:i w:val="0"/>
        </w:rPr>
        <w:t xml:space="preserve"> </w:t>
      </w:r>
      <w:r>
        <w:rPr>
          <w:b w:val="0"/>
          <w:i w:val="0"/>
        </w:rPr>
        <w:t xml:space="preserve"> </w:t>
      </w:r>
      <w:hyperlink r:id="rId61">
        <w:r>
          <w:rPr>
            <w:color w:val="176EA4"/>
          </w:rPr>
          <w:t>See screenshot</w:t>
        </w:r>
      </w:hyperlink>
      <w:r>
        <w:t xml:space="preserve"> </w:t>
      </w:r>
    </w:p>
    <w:p>
      <w:pPr>
        <w:pStyle w:val="ListBullet"/>
      </w:pPr>
      <w:r>
        <w:rPr>
          <w:b w:val="0"/>
          <w:i w:val="0"/>
        </w:rPr>
        <w:t>Right-click a value to set lower bound, upper bound, default, and increment jump.</w:t>
      </w:r>
    </w:p>
    <w:p>
      <w:pPr>
        <w:keepNext/>
        <w:jc w:val="center"/>
      </w:pPr>
      <w:r>
        <w:drawing>
          <wp:inline xmlns:a="http://schemas.openxmlformats.org/drawingml/2006/main" xmlns:pic="http://schemas.openxmlformats.org/drawingml/2006/picture">
            <wp:extent cx="6217920" cy="4304354"/>
            <wp:docPr id="34" name="Picture 34" descr="Use the lock column, numeric values and units in the property table. Show zero terms reveals additional stored inputs."/>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21"/>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1, 2, 3, 4</w:t>
      </w:r>
      <w:r>
        <w:rPr>
          <w:b/>
          <w:i w:val="0"/>
        </w:rPr>
        <w:t xml:space="preserve"> </w:t>
      </w:r>
      <w:r>
        <w:rPr>
          <w:b/>
          <w:i w:val="0"/>
        </w:rPr>
        <w:t xml:space="preserve"> · </w:t>
      </w:r>
      <w:r>
        <w:rPr>
          <w:b w:val="0"/>
          <w:i w:val="0"/>
        </w:rPr>
        <w:t>Use the lock column, numeric values and units in the property table. Show zero terms reveals additional stored inputs.</w:t>
      </w:r>
      <w:r>
        <w:rPr>
          <w:b w:val="0"/>
          <w:i w:val="0"/>
        </w:rPr>
        <w:t xml:space="preserve"> </w:t>
      </w:r>
      <w:r>
        <w:rPr>
          <w:b w:val="0"/>
          <w:i w:val="0"/>
        </w:rPr>
        <w:t xml:space="preserve"> </w:t>
      </w:r>
      <w:hyperlink r:id="rId22">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Bounds and increments will later support optimization and parametric studies, so choose physically defensible values.</w:t>
      </w:r>
    </w:p>
    <w:p>
      <w:pPr>
        <w:pStyle w:val="Heading2"/>
      </w:pPr>
      <w:r>
        <w:t>Move and organize materials</w:t>
      </w:r>
    </w:p>
    <w:p>
      <w:pPr/>
      <w:r>
        <w:rPr>
          <w:b w:val="0"/>
          <w:i w:val="0"/>
        </w:rPr>
        <w:t>Create virtual folders to match suppliers, programs, material families, or qualification status. Moving a material changes its working classification for later selection filters.</w:t>
      </w:r>
    </w:p>
    <w:p>
      <w:pPr>
        <w:pStyle w:val="ListBullet"/>
      </w:pPr>
      <w:r>
        <w:rPr>
          <w:b w:val="0"/>
          <w:i w:val="0"/>
        </w:rPr>
        <w:t>Create a virtual folder under Materials.</w:t>
      </w:r>
      <w:r>
        <w:rPr>
          <w:b w:val="0"/>
          <w:i w:val="0"/>
        </w:rPr>
        <w:t xml:space="preserve"> </w:t>
      </w:r>
      <w:r>
        <w:rPr>
          <w:b w:val="0"/>
          <w:i w:val="0"/>
        </w:rPr>
        <w:t xml:space="preserve"> </w:t>
      </w:r>
      <w:hyperlink r:id="rId62">
        <w:r>
          <w:rPr>
            <w:color w:val="176EA4"/>
          </w:rPr>
          <w:t>See screenshot</w:t>
        </w:r>
      </w:hyperlink>
      <w:r>
        <w:t xml:space="preserve"> </w:t>
      </w:r>
    </w:p>
    <w:p>
      <w:pPr>
        <w:pStyle w:val="ListBullet"/>
      </w:pPr>
      <w:r>
        <w:rPr>
          <w:b w:val="0"/>
          <w:i w:val="0"/>
        </w:rPr>
        <w:t>Right-click a record and choose Move to folder.</w:t>
      </w:r>
    </w:p>
    <w:p>
      <w:pPr>
        <w:pStyle w:val="ListBullet"/>
      </w:pPr>
      <w:r>
        <w:rPr>
          <w:b w:val="0"/>
          <w:i w:val="0"/>
        </w:rPr>
        <w:t>Confirm the destination.</w:t>
      </w:r>
    </w:p>
    <w:p>
      <w:pPr>
        <w:pStyle w:val="ListBullet"/>
      </w:pPr>
      <w:r>
        <w:rPr>
          <w:b w:val="0"/>
          <w:i w:val="0"/>
        </w:rPr>
        <w:t>Use the material-folder filter to verify the new organization.</w:t>
      </w:r>
    </w:p>
    <w:p>
      <w:pPr>
        <w:keepNext/>
        <w:jc w:val="center"/>
      </w:pPr>
      <w:r>
        <w:drawing>
          <wp:inline xmlns:a="http://schemas.openxmlformats.org/drawingml/2006/main" xmlns:pic="http://schemas.openxmlformats.org/drawingml/2006/picture">
            <wp:extent cx="6217920" cy="2662460"/>
            <wp:docPr id="35" name="Picture 35" descr="Create a material family from the Materials context menu before organizing records into it."/>
            <wp:cNvGraphicFramePr>
              <a:graphicFrameLocks noChangeAspect="1"/>
            </wp:cNvGraphicFramePr>
            <a:graphic>
              <a:graphicData uri="http://schemas.openxmlformats.org/drawingml/2006/picture">
                <pic:pic>
                  <pic:nvPicPr>
                    <pic:cNvPr id="0" name="b7a3cd037863316cac071fe23b22518beccc72a56c9a6ba6f05dc7ea1f879be6.png"/>
                    <pic:cNvPicPr/>
                  </pic:nvPicPr>
                  <pic:blipFill>
                    <a:blip r:embed="rId59"/>
                    <a:stretch>
                      <a:fillRect/>
                    </a:stretch>
                  </pic:blipFill>
                  <pic:spPr>
                    <a:xfrm>
                      <a:off x="0" y="0"/>
                      <a:ext cx="6217920" cy="2662460"/>
                    </a:xfrm>
                    <a:prstGeom prst="rect"/>
                  </pic:spPr>
                </pic:pic>
              </a:graphicData>
            </a:graphic>
          </wp:inline>
        </w:drawing>
      </w:r>
    </w:p>
    <w:p>
      <w:pPr>
        <w:pStyle w:val="Caption"/>
      </w:pPr>
      <w:r>
        <w:rPr>
          <w:b/>
          <w:i w:val="0"/>
        </w:rPr>
        <w:t xml:space="preserve">Steps </w:t>
      </w:r>
      <w:r>
        <w:rPr>
          <w:b/>
          <w:i w:val="0"/>
        </w:rPr>
        <w:t xml:space="preserve"> </w:t>
      </w:r>
      <w:r>
        <w:rPr>
          <w:b/>
          <w:i w:val="0"/>
        </w:rPr>
        <w:t>1</w:t>
      </w:r>
      <w:r>
        <w:rPr>
          <w:b/>
          <w:i w:val="0"/>
        </w:rPr>
        <w:t xml:space="preserve"> </w:t>
      </w:r>
      <w:r>
        <w:rPr>
          <w:b/>
          <w:i w:val="0"/>
        </w:rPr>
        <w:t xml:space="preserve"> · </w:t>
      </w:r>
      <w:r>
        <w:rPr>
          <w:b w:val="0"/>
          <w:i w:val="0"/>
        </w:rPr>
        <w:t>Create a material family from the Materials context menu before organizing records into it.</w:t>
      </w:r>
      <w:r>
        <w:rPr>
          <w:b w:val="0"/>
          <w:i w:val="0"/>
        </w:rPr>
        <w:t xml:space="preserve"> </w:t>
      </w:r>
      <w:r>
        <w:rPr>
          <w:b w:val="0"/>
          <w:i w:val="0"/>
        </w:rPr>
        <w:t xml:space="preserve"> </w:t>
      </w:r>
      <w:hyperlink r:id="rId6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pStyle w:val="Heading2"/>
      </w:pPr>
      <w:r>
        <w:t>Duplicate and delete records</w:t>
      </w:r>
    </w:p>
    <w:p>
      <w:pPr/>
      <w:r>
        <w:rPr>
          <w:b w:val="0"/>
          <w:i w:val="0"/>
        </w:rPr>
        <w:t>Duplicate is the safest starting point for a related material. Delete removes an eligible user record only after dependency review.</w:t>
      </w:r>
    </w:p>
    <w:p>
      <w:pPr>
        <w:pStyle w:val="ListBullet"/>
      </w:pPr>
      <w:r>
        <w:rPr>
          <w:b w:val="0"/>
          <w:i w:val="0"/>
        </w:rPr>
        <w:t>Right-click the record.</w:t>
      </w:r>
      <w:r>
        <w:rPr>
          <w:b w:val="0"/>
          <w:i w:val="0"/>
        </w:rPr>
        <w:t xml:space="preserve"> </w:t>
      </w:r>
      <w:r>
        <w:rPr>
          <w:b w:val="0"/>
          <w:i w:val="0"/>
        </w:rPr>
        <w:t xml:space="preserve"> </w:t>
      </w:r>
      <w:hyperlink r:id="rId63">
        <w:r>
          <w:rPr>
            <w:color w:val="176EA4"/>
          </w:rPr>
          <w:t>See screenshot</w:t>
        </w:r>
      </w:hyperlink>
      <w:r>
        <w:t xml:space="preserve"> </w:t>
      </w:r>
    </w:p>
    <w:p>
      <w:pPr>
        <w:pStyle w:val="ListBullet"/>
      </w:pPr>
      <w:r>
        <w:rPr>
          <w:b w:val="0"/>
          <w:i w:val="0"/>
        </w:rPr>
        <w:t>Choose Duplicate and immediately rename the copy.</w:t>
      </w:r>
      <w:r>
        <w:rPr>
          <w:b w:val="0"/>
          <w:i w:val="0"/>
        </w:rPr>
        <w:t xml:space="preserve"> </w:t>
      </w:r>
      <w:r>
        <w:rPr>
          <w:b w:val="0"/>
          <w:i w:val="0"/>
        </w:rPr>
        <w:t xml:space="preserve"> </w:t>
      </w:r>
      <w:hyperlink r:id="rId63">
        <w:r>
          <w:rPr>
            <w:color w:val="176EA4"/>
          </w:rPr>
          <w:t>See screenshot</w:t>
        </w:r>
      </w:hyperlink>
      <w:r>
        <w:t xml:space="preserve"> </w:t>
      </w:r>
    </w:p>
    <w:p>
      <w:pPr>
        <w:pStyle w:val="ListBullet"/>
      </w:pPr>
      <w:r>
        <w:rPr>
          <w:b w:val="0"/>
          <w:i w:val="0"/>
        </w:rPr>
        <w:t>For deletion, review every downstream lamina, laminate, or simulation dependency shown in the warning.</w:t>
      </w:r>
    </w:p>
    <w:p>
      <w:pPr>
        <w:pStyle w:val="ListBullet"/>
      </w:pPr>
      <w:r>
        <w:rPr>
          <w:b w:val="0"/>
          <w:i w:val="0"/>
        </w:rPr>
        <w:t>Cancel if the record is still required; otherwise confirm deletion.</w:t>
      </w:r>
    </w:p>
    <w:p>
      <w:pPr>
        <w:keepNext/>
        <w:jc w:val="center"/>
      </w:pPr>
      <w:r>
        <w:drawing>
          <wp:inline xmlns:a="http://schemas.openxmlformats.org/drawingml/2006/main" xmlns:pic="http://schemas.openxmlformats.org/drawingml/2006/picture">
            <wp:extent cx="6217920" cy="5545711"/>
            <wp:docPr id="36" name="Picture 36" descr="Right-click the exact material to find Duplicate, Move and Delete. Opening this menu does not alter the record; review dependencies before confirming deletion."/>
            <wp:cNvGraphicFramePr>
              <a:graphicFrameLocks noChangeAspect="1"/>
            </wp:cNvGraphicFramePr>
            <a:graphic>
              <a:graphicData uri="http://schemas.openxmlformats.org/drawingml/2006/picture">
                <pic:pic>
                  <pic:nvPicPr>
                    <pic:cNvPr id="0" name="b91d230f0a73048d57b704049bcf17c3d04bd0f9cda647340b93d06d9a8718d7.png"/>
                    <pic:cNvPicPr/>
                  </pic:nvPicPr>
                  <pic:blipFill>
                    <a:blip r:embed="rId32"/>
                    <a:stretch>
                      <a:fillRect/>
                    </a:stretch>
                  </pic:blipFill>
                  <pic:spPr>
                    <a:xfrm>
                      <a:off x="0" y="0"/>
                      <a:ext cx="6217920" cy="5545711"/>
                    </a:xfrm>
                    <a:prstGeom prst="rect"/>
                  </pic:spPr>
                </pic:pic>
              </a:graphicData>
            </a:graphic>
          </wp:inline>
        </w:drawing>
      </w:r>
    </w:p>
    <w:p>
      <w:pPr>
        <w:pStyle w:val="Caption"/>
      </w:pPr>
      <w:r>
        <w:rPr>
          <w:b/>
          <w:i w:val="0"/>
        </w:rPr>
        <w:t xml:space="preserve">Steps </w:t>
      </w:r>
      <w:r>
        <w:rPr>
          <w:b/>
          <w:i w:val="0"/>
        </w:rPr>
        <w:t xml:space="preserve"> </w:t>
      </w:r>
      <w:r>
        <w:rPr>
          <w:b/>
          <w:i w:val="0"/>
        </w:rPr>
        <w:t>1, 2</w:t>
      </w:r>
      <w:r>
        <w:rPr>
          <w:b/>
          <w:i w:val="0"/>
        </w:rPr>
        <w:t xml:space="preserve"> </w:t>
      </w:r>
      <w:r>
        <w:rPr>
          <w:b/>
          <w:i w:val="0"/>
        </w:rPr>
        <w:t xml:space="preserve"> · </w:t>
      </w:r>
      <w:r>
        <w:rPr>
          <w:b w:val="0"/>
          <w:i w:val="0"/>
        </w:rPr>
        <w:t>Right-click the exact material to find Duplicate, Move and Delete. Opening this menu does not alter the record; review dependencies before confirming deletion.</w:t>
      </w:r>
      <w:r>
        <w:rPr>
          <w:b w:val="0"/>
          <w:i w:val="0"/>
        </w:rPr>
        <w:t xml:space="preserve"> </w:t>
      </w:r>
      <w:r>
        <w:rPr>
          <w:b w:val="0"/>
          <w:i w:val="0"/>
        </w:rPr>
        <w:t xml:space="preserve"> </w:t>
      </w:r>
      <w:hyperlink r:id="rId33">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Protected base folders and critical system records cannot be deleted.</w:t>
      </w:r>
    </w:p>
    <w:p>
      <w:pPr>
        <w:pStyle w:val="Heading2"/>
      </w:pPr>
      <w:r>
        <w:t>Use right-click options</w:t>
      </w:r>
    </w:p>
    <w:p>
      <w:pPr/>
      <w:r>
        <w:rPr>
          <w:b w:val="0"/>
          <w:i w:val="0"/>
        </w:rPr>
        <w:t>Context menus provide the same record actions available through Project Manager: create, duplicate, rename, move, save, export, and delete. Parent-level actions apply to the selected subtree where supported.</w:t>
      </w:r>
    </w:p>
    <w:p>
      <w:pPr>
        <w:pStyle w:val="ListBullet"/>
      </w:pPr>
      <w:r>
        <w:rPr>
          <w:b w:val="0"/>
          <w:i w:val="0"/>
        </w:rPr>
        <w:t>Right-click the exact record or parent folder you intend to affect.</w:t>
      </w:r>
      <w:r>
        <w:rPr>
          <w:b w:val="0"/>
          <w:i w:val="0"/>
        </w:rPr>
        <w:t xml:space="preserve"> </w:t>
      </w:r>
      <w:r>
        <w:rPr>
          <w:b w:val="0"/>
          <w:i w:val="0"/>
        </w:rPr>
        <w:t xml:space="preserve"> </w:t>
      </w:r>
      <w:hyperlink r:id="rId64">
        <w:r>
          <w:rPr>
            <w:color w:val="176EA4"/>
          </w:rPr>
          <w:t>See screenshot</w:t>
        </w:r>
      </w:hyperlink>
      <w:r>
        <w:t xml:space="preserve"> </w:t>
      </w:r>
    </w:p>
    <w:p>
      <w:pPr>
        <w:pStyle w:val="ListBullet"/>
      </w:pPr>
      <w:r>
        <w:rPr>
          <w:b w:val="0"/>
          <w:i w:val="0"/>
        </w:rPr>
        <w:t>Read the scope shown in the menu.</w:t>
      </w:r>
      <w:r>
        <w:rPr>
          <w:b w:val="0"/>
          <w:i w:val="0"/>
        </w:rPr>
        <w:t xml:space="preserve"> </w:t>
      </w:r>
      <w:r>
        <w:rPr>
          <w:b w:val="0"/>
          <w:i w:val="0"/>
        </w:rPr>
        <w:t xml:space="preserve"> </w:t>
      </w:r>
      <w:hyperlink r:id="rId64">
        <w:r>
          <w:rPr>
            <w:color w:val="176EA4"/>
          </w:rPr>
          <w:t>See screenshot</w:t>
        </w:r>
      </w:hyperlink>
      <w:r>
        <w:t xml:space="preserve"> </w:t>
      </w:r>
    </w:p>
    <w:p>
      <w:pPr>
        <w:pStyle w:val="ListBullet"/>
      </w:pPr>
      <w:r>
        <w:rPr>
          <w:b w:val="0"/>
          <w:i w:val="0"/>
        </w:rPr>
        <w:t>Use Save Data or local database export when a portable copy is needed.</w:t>
      </w:r>
      <w:r>
        <w:rPr>
          <w:b w:val="0"/>
          <w:i w:val="0"/>
        </w:rPr>
        <w:t xml:space="preserve"> </w:t>
      </w:r>
      <w:r>
        <w:rPr>
          <w:b w:val="0"/>
          <w:i w:val="0"/>
        </w:rPr>
        <w:t xml:space="preserve"> </w:t>
      </w:r>
      <w:hyperlink r:id="rId64">
        <w:r>
          <w:rPr>
            <w:color w:val="176EA4"/>
          </w:rPr>
          <w:t>See screenshot</w:t>
        </w:r>
      </w:hyperlink>
      <w:r>
        <w:t xml:space="preserve"> </w:t>
      </w:r>
    </w:p>
    <w:p>
      <w:pPr>
        <w:pStyle w:val="ListBullet"/>
      </w:pPr>
      <w:r>
        <w:rPr>
          <w:b w:val="0"/>
          <w:i w:val="0"/>
        </w:rPr>
        <w:t>Check dependency warnings before destructive actions.</w:t>
      </w:r>
    </w:p>
    <w:p>
      <w:pPr>
        <w:keepNext/>
        <w:jc w:val="center"/>
      </w:pPr>
      <w:r>
        <w:drawing>
          <wp:inline xmlns:a="http://schemas.openxmlformats.org/drawingml/2006/main" xmlns:pic="http://schemas.openxmlformats.org/drawingml/2006/picture">
            <wp:extent cx="6217920" cy="2662460"/>
            <wp:docPr id="37" name="Picture 37" descr="The menu title and actions depend on the selected scope. This example is the whole Materials library."/>
            <wp:cNvGraphicFramePr>
              <a:graphicFrameLocks noChangeAspect="1"/>
            </wp:cNvGraphicFramePr>
            <a:graphic>
              <a:graphicData uri="http://schemas.openxmlformats.org/drawingml/2006/picture">
                <pic:pic>
                  <pic:nvPicPr>
                    <pic:cNvPr id="0" name="b7a3cd037863316cac071fe23b22518beccc72a56c9a6ba6f05dc7ea1f879be6.png"/>
                    <pic:cNvPicPr/>
                  </pic:nvPicPr>
                  <pic:blipFill>
                    <a:blip r:embed="rId59"/>
                    <a:stretch>
                      <a:fillRect/>
                    </a:stretch>
                  </pic:blipFill>
                  <pic:spPr>
                    <a:xfrm>
                      <a:off x="0" y="0"/>
                      <a:ext cx="6217920" cy="2662460"/>
                    </a:xfrm>
                    <a:prstGeom prst="rect"/>
                  </pic:spPr>
                </pic:pic>
              </a:graphicData>
            </a:graphic>
          </wp:inline>
        </w:drawing>
      </w:r>
    </w:p>
    <w:p>
      <w:pPr>
        <w:pStyle w:val="Caption"/>
      </w:pPr>
      <w:r>
        <w:rPr>
          <w:b/>
          <w:i w:val="0"/>
        </w:rPr>
        <w:t xml:space="preserve">Steps </w:t>
      </w:r>
      <w:r>
        <w:rPr>
          <w:b/>
          <w:i w:val="0"/>
        </w:rPr>
        <w:t xml:space="preserve"> </w:t>
      </w:r>
      <w:r>
        <w:rPr>
          <w:b/>
          <w:i w:val="0"/>
        </w:rPr>
        <w:t>1, 2, 3</w:t>
      </w:r>
      <w:r>
        <w:rPr>
          <w:b/>
          <w:i w:val="0"/>
        </w:rPr>
        <w:t xml:space="preserve"> </w:t>
      </w:r>
      <w:r>
        <w:rPr>
          <w:b/>
          <w:i w:val="0"/>
        </w:rPr>
        <w:t xml:space="preserve"> · </w:t>
      </w:r>
      <w:r>
        <w:rPr>
          <w:b w:val="0"/>
          <w:i w:val="0"/>
        </w:rPr>
        <w:t>The menu title and actions depend on the selected scope. This example is the whole Materials library.</w:t>
      </w:r>
      <w:r>
        <w:rPr>
          <w:b w:val="0"/>
          <w:i w:val="0"/>
        </w:rPr>
        <w:t xml:space="preserve"> </w:t>
      </w:r>
      <w:r>
        <w:rPr>
          <w:b w:val="0"/>
          <w:i w:val="0"/>
        </w:rPr>
        <w:t xml:space="preserve"> </w:t>
      </w:r>
      <w:hyperlink r:id="rId6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7" w:name="chapter_7"/>
      <w:pPr>
        <w:pStyle w:val="Heading1"/>
        <w:pageBreakBefore/>
      </w:pPr>
      <w:r>
        <w:t>7 Prepare visualize optimize and run analysis cases</w:t>
      </w:r>
      <w:bookmarkEnd w:id="7"/>
    </w:p>
    <w:p>
      <w:pPr>
        <w:pStyle w:val="Caption"/>
      </w:pPr>
      <w:hyperlink r:id="rId65">
        <w:r>
          <w:rPr>
            <w:color w:val="176EA4"/>
          </w:rPr>
          <w:t>Online chapter</w:t>
        </w:r>
      </w:hyperlink>
      <w:r>
        <w:t xml:space="preserve"> </w:t>
      </w:r>
    </w:p>
    <w:p>
      <w:pPr/>
      <w:r>
        <w:rPr>
          <w:b w:val="0"/>
          <w:i w:val="0"/>
        </w:rPr>
        <w:t>Define connected process and structural inputs, include cure-aware physics, optimize cycles, verify loads graphically, run the solver, and review result provenance.</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r>
        <w:t>Read time and travel distance</w:t>
      </w:r>
    </w:p>
    <w:p>
      <w:pPr/>
      <w:r>
        <w:rPr>
          <w:b w:val="0"/>
          <w:i w:val="0"/>
        </w:rPr>
        <w:t>Boundary peak</w:t>
      </w:r>
      <w:r>
        <w:t xml:space="preserve">: </w:t>
      </w:r>
      <w:r>
        <w:rPr>
          <w:b w:val="0"/>
          <w:i w:val="0"/>
        </w:rPr>
        <w:t>120</w:t>
      </w:r>
      <w:r>
        <w:rPr>
          <w:b w:val="0"/>
          <w:i w:val="0"/>
        </w:rPr>
        <w:t xml:space="preserve"> </w:t>
      </w:r>
      <w:r>
        <w:rPr>
          <w:b w:val="0"/>
          <w:i w:val="0"/>
        </w:rPr>
        <w:t xml:space="preserve"> </w:t>
      </w:r>
      <w:r>
        <w:rPr>
          <w:b w:val="0"/>
          <w:i w:val="0"/>
        </w:rPr>
        <w:t xml:space="preserve"> </w:t>
      </w:r>
      <w:r>
        <w:rPr>
          <w:b w:val="0"/>
          <w:i w:val="0"/>
        </w:rPr>
        <w:t>°C</w:t>
      </w:r>
    </w:p>
    <w:p>
      <w:pPr/>
      <w:r>
        <w:rPr>
          <w:b w:val="0"/>
          <w:i w:val="0"/>
        </w:rPr>
        <w:t>Pull speed</w:t>
      </w:r>
      <w:r>
        <w:t xml:space="preserve">: </w:t>
      </w:r>
      <w:r>
        <w:rPr>
          <w:b w:val="0"/>
          <w:i w:val="0"/>
        </w:rPr>
        <w:t>10</w:t>
      </w:r>
      <w:r>
        <w:rPr>
          <w:b w:val="0"/>
          <w:i w:val="0"/>
        </w:rPr>
        <w:t xml:space="preserve"> </w:t>
      </w:r>
      <w:r>
        <w:rPr>
          <w:b w:val="0"/>
          <w:i w:val="0"/>
        </w:rPr>
        <w:t xml:space="preserve"> </w:t>
      </w:r>
      <w:r>
        <w:rPr>
          <w:b w:val="0"/>
          <w:i w:val="0"/>
        </w:rPr>
        <w:t xml:space="preserve"> </w:t>
      </w:r>
      <w:r>
        <w:rPr>
          <w:b w:val="0"/>
          <w:i w:val="0"/>
        </w:rPr>
        <w:t>mm/min</w:t>
      </w:r>
    </w:p>
    <w:p>
      <w:pPr/>
      <w:r>
        <w:rPr>
          <w:b w:val="0"/>
          <w:i w:val="0"/>
        </w:rPr>
        <w:t>Time cursor</w:t>
      </w:r>
      <w:r>
        <w:t xml:space="preserve">: </w:t>
      </w:r>
      <w:r>
        <w:rPr>
          <w:b w:val="0"/>
          <w:i w:val="0"/>
        </w:rPr>
        <w:t>30</w:t>
      </w:r>
      <w:r>
        <w:rPr>
          <w:b w:val="0"/>
          <w:i w:val="0"/>
        </w:rPr>
        <w:t xml:space="preserve"> </w:t>
      </w:r>
      <w:r>
        <w:rPr>
          <w:b w:val="0"/>
          <w:i w:val="0"/>
        </w:rPr>
        <w:t xml:space="preserve"> </w:t>
      </w:r>
      <w:r>
        <w:rPr>
          <w:b w:val="0"/>
          <w:i w:val="0"/>
        </w:rPr>
        <w:t xml:space="preserve"> </w:t>
      </w:r>
      <w:r>
        <w:rPr>
          <w:b w:val="0"/>
          <w:i w:val="0"/>
        </w:rPr>
        <w:t>min</w:t>
      </w:r>
    </w:p>
    <w:p>
      <w:r>
        <w:t>Show length instead of time</w:t>
      </w:r>
    </w:p>
    <w:p>
      <w:pPr>
        <w:keepNext w:val="0"/>
        <w:jc w:val="center"/>
      </w:pPr>
      <w:r>
        <w:drawing>
          <wp:inline xmlns:a="http://schemas.openxmlformats.org/drawingml/2006/main" xmlns:pic="http://schemas.openxmlformats.org/drawingml/2006/picture">
            <wp:extent cx="6217920" cy="3008671"/>
            <wp:docPr id="38" name="Picture 38" descr="CDS workflow or model illustration"/>
            <wp:cNvGraphicFramePr>
              <a:graphicFrameLocks noChangeAspect="1"/>
            </wp:cNvGraphicFramePr>
            <a:graphic>
              <a:graphicData uri="http://schemas.openxmlformats.org/drawingml/2006/picture">
                <pic:pic>
                  <pic:nvPicPr>
                    <pic:cNvPr id="0" name="rsvg-859d77426e4a327be598b4169882a9deaecd9260214eeb8ef33932eff7c1ad11.png"/>
                    <pic:cNvPicPr/>
                  </pic:nvPicPr>
                  <pic:blipFill>
                    <a:blip r:embed="rId66"/>
                    <a:stretch>
                      <a:fillRect/>
                    </a:stretch>
                  </pic:blipFill>
                  <pic:spPr>
                    <a:xfrm>
                      <a:off x="0" y="0"/>
                      <a:ext cx="6217920" cy="3008671"/>
                    </a:xfrm>
                    <a:prstGeom prst="rect"/>
                  </pic:spPr>
                </pic:pic>
              </a:graphicData>
            </a:graphic>
          </wp:inline>
        </w:drawing>
      </w:r>
    </w:p>
    <w:p>
      <w:pPr/>
      <w:r>
        <w:rPr>
          <w:b w:val="0"/>
          <w:i w:val="0"/>
        </w:rPr>
        <w:t>Cursor: 30 min · 300 mm · 120.0 °C</w:t>
      </w:r>
    </w:p>
    <w:p>
      <w:pPr/>
      <w:hyperlink r:id="rId16">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Choose the run in the SIMULATION block</w:t>
      </w:r>
    </w:p>
    <w:p>
      <w:pPr/>
      <w:r>
        <w:rPr>
          <w:b w:val="0"/>
          <w:i w:val="0"/>
        </w:rPr>
        <w:t>SIMULATION is the control point for the run. Select a Thermal case, Moisture case, Mechanical case and EM case, or None in any slot. Each selected case shows its analysis model, laminate and applicable geometry.</w:t>
      </w:r>
    </w:p>
    <w:p>
      <w:pPr>
        <w:pStyle w:val="ListBullet"/>
      </w:pPr>
      <w:r>
        <w:rPr>
          <w:b w:val="0"/>
          <w:i w:val="0"/>
        </w:rPr>
        <w:t>Keep candidate records in the surrounding blocks. Adding a candidate does not select it for execution.</w:t>
      </w:r>
    </w:p>
    <w:p>
      <w:pPr>
        <w:pStyle w:val="ListBullet"/>
      </w:pPr>
      <w:r>
        <w:rPr>
          <w:b w:val="0"/>
          <w:i w:val="0"/>
        </w:rPr>
        <w:t>Select the required cases in SIMULATION and review their inputs before Run. At least one case is required.</w:t>
      </w:r>
    </w:p>
    <w:p>
      <w:pPr>
        <w:pStyle w:val="ListBullet"/>
      </w:pPr>
      <w:r>
        <w:rPr>
          <w:b w:val="0"/>
          <w:i w:val="0"/>
        </w:rPr>
        <w:t>Use the same laminate for a supported combined run. Run standalone studies separately with the other selectors set to None.</w:t>
      </w:r>
    </w:p>
    <w:p>
      <w:pPr>
        <w:pStyle w:val="ListBullet"/>
      </w:pPr>
      <w:r>
        <w:rPr>
          <w:b w:val="0"/>
          <w:i w:val="0"/>
        </w:rPr>
        <w:t>Run executes the selected combination. A connection or Used marker is not evidence of a successful solve.</w:t>
      </w:r>
    </w:p>
    <w:p>
      <w:pPr>
        <w:keepNext/>
      </w:pPr>
      <w:r>
        <w:t>Good practice</w:t>
      </w:r>
    </w:p>
    <w:p>
      <w:pPr/>
      <w:r>
        <w:rPr>
          <w:b w:val="0"/>
          <w:i w:val="0"/>
        </w:rPr>
        <w:t>Selecting several cases does not add unsupported physics coupling. EM screening studies do not automatically heat the thermal case.</w:t>
      </w:r>
    </w:p>
    <w:p>
      <w:pPr>
        <w:pStyle w:val="Heading2"/>
      </w:pPr>
      <w:r>
        <w:t>Review every downstream geometry dependency</w:t>
      </w:r>
    </w:p>
    <w:p>
      <w:pPr/>
      <w:r>
        <w:rPr>
          <w:b w:val="0"/>
          <w:i w:val="0"/>
        </w:rPr>
        <w:t>A geometry record can be shared by several cases and simulations. Editing its dimensions or type affects all linked consumers, including studies that are not currently open. Unrelated records are unchanged.</w:t>
      </w:r>
    </w:p>
    <w:p>
      <w:pPr>
        <w:pStyle w:val="ListBullet"/>
      </w:pPr>
      <w:r>
        <w:rPr>
          <w:b w:val="0"/>
          <w:i w:val="0"/>
        </w:rPr>
        <w:t>After editing geometry, open Solver messages and expand Review affected cases and simulations. Select a linked name to inspect that record.</w:t>
      </w:r>
    </w:p>
    <w:p>
      <w:pPr>
        <w:pStyle w:val="ListBullet"/>
      </w:pPr>
      <w:r>
        <w:rPr>
          <w:b w:val="0"/>
          <w:i w:val="0"/>
        </w:rPr>
        <w:t>Check the selected model, load basis, dimensions and boundary conditions. Loads are not automatically replaced when the geometry changes.</w:t>
      </w:r>
    </w:p>
    <w:p>
      <w:pPr>
        <w:pStyle w:val="ListBullet"/>
      </w:pPr>
      <w:r>
        <w:rPr>
          <w:b w:val="0"/>
          <w:i w:val="0"/>
        </w:rPr>
        <w:t>Resolve incompatible geometry and model combinations before running. An I-section does not turn a plate theory into a beam theory.</w:t>
      </w:r>
    </w:p>
    <w:p>
      <w:pPr>
        <w:pStyle w:val="ListBullet"/>
      </w:pPr>
      <w:r>
        <w:rPr>
          <w:b w:val="0"/>
          <w:i w:val="0"/>
        </w:rPr>
        <w:t>Rerun affected simulations before relying on previous results. Inputs changed warnings indicate that stored results no longer match their connected inputs.</w:t>
      </w:r>
    </w:p>
    <w:p>
      <w:pPr>
        <w:keepNext/>
      </w:pPr>
      <w:r>
        <w:t>Good practice</w:t>
      </w:r>
    </w:p>
    <w:p>
      <w:pPr/>
      <w:r>
        <w:rPr>
          <w:b w:val="0"/>
          <w:i w:val="0"/>
        </w:rPr>
        <w:t>Geometry affects only dimensions consumed by the selected model. One-dimensional transport retains its through-thickness assumptions; standalone studies may own their dimensions. Under fixed total edge loads, changing plate width changes force per unit width. Under prescribed resultants, it does not.</w:t>
      </w:r>
    </w:p>
    <w:p>
      <w:pPr>
        <w:pStyle w:val="Heading2"/>
      </w:pPr>
      <w:r>
        <w:t>Read the blue Used marker</w:t>
      </w:r>
    </w:p>
    <w:p>
      <w:pPr/>
      <w:r>
        <w:rPr>
          <w:b w:val="0"/>
          <w:i w:val="0"/>
        </w:rPr>
        <w:t>Connected, available record selections have a soft blue glow and a Used marker in the corner. Hover or focus the marker to see which downstream record and field uses that input.</w:t>
      </w:r>
    </w:p>
    <w:p>
      <w:pPr>
        <w:pStyle w:val="ListBullet"/>
      </w:pPr>
      <w:r>
        <w:rPr>
          <w:b w:val="0"/>
          <w:i w:val="0"/>
        </w:rPr>
        <w:t>Check the marker before editing a shared input: more than one case can consume it.</w:t>
      </w:r>
    </w:p>
    <w:p>
      <w:pPr>
        <w:pStyle w:val="ListBullet"/>
      </w:pPr>
      <w:r>
        <w:rPr>
          <w:b w:val="0"/>
          <w:i w:val="0"/>
        </w:rPr>
        <w:t>A Used marker means connected, not solved or validated. Review solver status and outdated-result warnings separately.</w:t>
      </w:r>
    </w:p>
    <w:p>
      <w:pPr>
        <w:pStyle w:val="ListBullet"/>
      </w:pPr>
      <w:r>
        <w:rPr>
          <w:b w:val="0"/>
          <w:i w:val="0"/>
        </w:rPr>
        <w:t>Missing or incompatible selections need repair; do not interpret an empty result as zero response.</w:t>
      </w:r>
    </w:p>
    <w:p>
      <w:pPr>
        <w:pStyle w:val="Heading2"/>
      </w:pPr>
      <w:r>
        <w:t>Add replace or disconnect a block input</w:t>
      </w:r>
    </w:p>
    <w:p>
      <w:pPr/>
      <w:r>
        <w:rPr>
          <w:b w:val="0"/>
          <w:i w:val="0"/>
        </w:rPr>
        <w:t>The + control adds another available record to a block, excluding records already present. Use that record row dropdown to change the candidate, its link to open it, and − to remove it from the block. Library records are not deleted.</w:t>
      </w:r>
    </w:p>
    <w:p>
      <w:pPr>
        <w:pStyle w:val="ListBullet"/>
      </w:pPr>
      <w:r>
        <w:rPr>
          <w:b w:val="0"/>
          <w:i w:val="0"/>
        </w:rPr>
        <w:t>Choose + and search for a compatible candidate not already in the block. Decide what actually runs with the four selectors in SIMULATION.</w:t>
      </w:r>
    </w:p>
    <w:p>
      <w:pPr>
        <w:pStyle w:val="ListBullet"/>
      </w:pPr>
      <w:r>
        <w:rPr>
          <w:b w:val="0"/>
          <w:i w:val="0"/>
        </w:rPr>
        <w:t>If no compatible record exists, create one in Inputs. Each case owns its analysis model and applicable cycle. There is no separate Process block to connect.</w:t>
      </w:r>
    </w:p>
    <w:p>
      <w:pPr>
        <w:pStyle w:val="ListBullet"/>
      </w:pPr>
      <w:r>
        <w:rPr>
          <w:b w:val="0"/>
          <w:i w:val="0"/>
        </w:rPr>
        <w:t>A used input must first be disconnected or changed at its consuming field. Review downstream warnings before confirming a removal; cancel to keep it.</w:t>
      </w:r>
    </w:p>
    <w:p>
      <w:pPr>
        <w:pStyle w:val="ListBullet"/>
      </w:pPr>
      <w:r>
        <w:rPr>
          <w:b w:val="0"/>
          <w:i w:val="0"/>
        </w:rPr>
        <w:t>After removal, required missing inputs remain flagged and their selectors allow reconnection. Optional cases may stay disconnected. Rerun affected analyses before relying on their results.</w:t>
      </w:r>
    </w:p>
    <w:p>
      <w:pPr>
        <w:keepNext/>
      </w:pPr>
      <w:r>
        <w:t>Good practice</w:t>
      </w:r>
    </w:p>
    <w:p>
      <w:pPr/>
      <w:r>
        <w:rPr>
          <w:b w:val="0"/>
          <w:i w:val="0"/>
        </w:rPr>
        <w:t>Disconnecting a shared laminate input may affect several cases. Removing a ply-source connection preserves the other ply sources, angles and thicknesses; it does not delete the ply stack.</w:t>
      </w:r>
    </w:p>
    <w:p>
      <w:pPr>
        <w:pStyle w:val="Heading2"/>
      </w:pPr>
      <w:r>
        <w:t>Create a case with its own cycle</w:t>
      </w:r>
    </w:p>
    <w:p>
      <w:pPr/>
      <w:r>
        <w:rPr>
          <w:b w:val="0"/>
          <w:i w:val="0"/>
        </w:rPr>
        <w:t>Choose a Thermal, Moisture, Mechanical or EM case. Each case selects one analysis model and owns its applicable conditions and cycle. There is no separate Process block.</w:t>
      </w:r>
    </w:p>
    <w:p>
      <w:pPr>
        <w:keepNext/>
        <w:jc w:val="center"/>
      </w:pPr>
      <w:r>
        <w:drawing>
          <wp:inline xmlns:a="http://schemas.openxmlformats.org/drawingml/2006/main" xmlns:pic="http://schemas.openxmlformats.org/drawingml/2006/picture">
            <wp:extent cx="6217920" cy="2573642"/>
            <wp:docPr id="39" name="Picture 39" descr="Earlier cycle editor shown for reference. In the current interface, open the Thermal case and edit its own Initial conditions, Upper and Lower tabs; no separate Process record is needed."/>
            <wp:cNvGraphicFramePr>
              <a:graphicFrameLocks noChangeAspect="1"/>
            </wp:cNvGraphicFramePr>
            <a:graphic>
              <a:graphicData uri="http://schemas.openxmlformats.org/drawingml/2006/picture">
                <pic:pic>
                  <pic:nvPicPr>
                    <pic:cNvPr id="0" name="2e1317e4d9227ab8250a4f9001f954569919ab19756b31f49db3855f2406db9d.png"/>
                    <pic:cNvPicPr/>
                  </pic:nvPicPr>
                  <pic:blipFill>
                    <a:blip r:embed="rId37"/>
                    <a:stretch>
                      <a:fillRect/>
                    </a:stretch>
                  </pic:blipFill>
                  <pic:spPr>
                    <a:xfrm>
                      <a:off x="0" y="0"/>
                      <a:ext cx="6217920" cy="2573642"/>
                    </a:xfrm>
                    <a:prstGeom prst="rect"/>
                  </pic:spPr>
                </pic:pic>
              </a:graphicData>
            </a:graphic>
          </wp:inline>
        </w:drawing>
      </w:r>
    </w:p>
    <w:p>
      <w:pPr>
        <w:pStyle w:val="Caption"/>
      </w:pPr>
      <w:r>
        <w:rPr>
          <w:b w:val="0"/>
          <w:i w:val="0"/>
        </w:rPr>
        <w:t>Earlier cycle editor shown for reference. In the current interface, open the Thermal case and edit its own Initial conditions, Upper and Lower tabs; no separate Process record is needed.</w:t>
      </w:r>
      <w:r>
        <w:rPr>
          <w:b w:val="0"/>
          <w:i w:val="0"/>
        </w:rPr>
        <w:t xml:space="preserve"> </w:t>
      </w:r>
      <w:r>
        <w:rPr>
          <w:b w:val="0"/>
          <w:i w:val="0"/>
        </w:rPr>
        <w:t xml:space="preserve"> </w:t>
      </w:r>
      <w:hyperlink r:id="rId38">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pStyle w:val="Heading2"/>
      </w:pPr>
      <w:r>
        <w:t>Edit the cycle inside the case</w:t>
      </w:r>
    </w:p>
    <w:p>
      <w:pPr/>
      <w:r>
        <w:rPr>
          <w:b w:val="0"/>
          <w:i w:val="0"/>
        </w:rPr>
        <w:t>In a thermal case, use Initial conditions for analysis setup and the Upper and Lower tabs for independent surface schedules. Set each surface condition and film coefficient in this case. Moisture and mechanical schedules belong to their own cases and do not share the thermal cycle.</w:t>
      </w:r>
    </w:p>
    <w:p>
      <w:pPr>
        <w:pStyle w:val="ListBullet"/>
      </w:pPr>
      <w:r>
        <w:rPr>
          <w:b w:val="0"/>
          <w:i w:val="0"/>
        </w:rPr>
        <w:t>Enter monotonically increasing time values.</w:t>
      </w:r>
      <w:r>
        <w:rPr>
          <w:b w:val="0"/>
          <w:i w:val="0"/>
        </w:rPr>
        <w:t xml:space="preserve"> </w:t>
      </w:r>
      <w:r>
        <w:rPr>
          <w:b w:val="0"/>
          <w:i w:val="0"/>
        </w:rPr>
        <w:t xml:space="preserve"> </w:t>
      </w:r>
      <w:hyperlink r:id="rId67">
        <w:r>
          <w:rPr>
            <w:color w:val="176EA4"/>
          </w:rPr>
          <w:t>See screenshot</w:t>
        </w:r>
      </w:hyperlink>
      <w:r>
        <w:t xml:space="preserve"> </w:t>
      </w:r>
    </w:p>
    <w:p>
      <w:pPr>
        <w:pStyle w:val="ListBullet"/>
      </w:pPr>
      <w:r>
        <w:rPr>
          <w:b w:val="0"/>
          <w:i w:val="0"/>
        </w:rPr>
        <w:t>Enter temperature and pressure for each step.</w:t>
      </w:r>
      <w:r>
        <w:rPr>
          <w:b w:val="0"/>
          <w:i w:val="0"/>
        </w:rPr>
        <w:t xml:space="preserve"> </w:t>
      </w:r>
      <w:r>
        <w:rPr>
          <w:b w:val="0"/>
          <w:i w:val="0"/>
        </w:rPr>
        <w:t xml:space="preserve"> </w:t>
      </w:r>
      <w:hyperlink r:id="rId67">
        <w:r>
          <w:rPr>
            <w:color w:val="176EA4"/>
          </w:rPr>
          <w:t>See screenshot</w:t>
        </w:r>
      </w:hyperlink>
      <w:r>
        <w:t xml:space="preserve"> </w:t>
      </w:r>
    </w:p>
    <w:p>
      <w:pPr>
        <w:pStyle w:val="ListBullet"/>
      </w:pPr>
      <w:r>
        <w:rPr>
          <w:b w:val="0"/>
          <w:i w:val="0"/>
        </w:rPr>
        <w:t>Set upper and lower boundary types and values.</w:t>
      </w:r>
      <w:r>
        <w:rPr>
          <w:b w:val="0"/>
          <w:i w:val="0"/>
        </w:rPr>
        <w:t xml:space="preserve"> </w:t>
      </w:r>
      <w:r>
        <w:rPr>
          <w:b w:val="0"/>
          <w:i w:val="0"/>
        </w:rPr>
        <w:t xml:space="preserve"> </w:t>
      </w:r>
      <w:hyperlink r:id="rId67">
        <w:r>
          <w:rPr>
            <w:color w:val="176EA4"/>
          </w:rPr>
          <w:t>See screenshot</w:t>
        </w:r>
      </w:hyperlink>
      <w:r>
        <w:t xml:space="preserve"> </w:t>
      </w:r>
    </w:p>
    <w:p>
      <w:pPr>
        <w:pStyle w:val="ListBullet"/>
      </w:pPr>
      <w:r>
        <w:rPr>
          <w:b w:val="0"/>
          <w:i w:val="0"/>
        </w:rPr>
        <w:t>Inspect the plot beside the table for discontinuities or unit errors.</w:t>
      </w:r>
      <w:r>
        <w:rPr>
          <w:b w:val="0"/>
          <w:i w:val="0"/>
        </w:rPr>
        <w:t xml:space="preserve"> </w:t>
      </w:r>
      <w:r>
        <w:rPr>
          <w:b w:val="0"/>
          <w:i w:val="0"/>
        </w:rPr>
        <w:t xml:space="preserve"> </w:t>
      </w:r>
      <w:hyperlink r:id="rId67">
        <w:r>
          <w:rPr>
            <w:color w:val="176EA4"/>
          </w:rPr>
          <w:t>See screenshot</w:t>
        </w:r>
      </w:hyperlink>
      <w:r>
        <w:t xml:space="preserve"> </w:t>
      </w:r>
    </w:p>
    <w:p>
      <w:pPr>
        <w:keepNext/>
        <w:jc w:val="center"/>
      </w:pPr>
      <w:r>
        <w:drawing>
          <wp:inline xmlns:a="http://schemas.openxmlformats.org/drawingml/2006/main" xmlns:pic="http://schemas.openxmlformats.org/drawingml/2006/picture">
            <wp:extent cx="6217920" cy="2573642"/>
            <wp:docPr id="40" name="Picture 40" descr="Enter time, temperature, boundary condition and shared pressure by row. Switch Upper/Lower Boundary for the second surface; compare both temperature curves on the right."/>
            <wp:cNvGraphicFramePr>
              <a:graphicFrameLocks noChangeAspect="1"/>
            </wp:cNvGraphicFramePr>
            <a:graphic>
              <a:graphicData uri="http://schemas.openxmlformats.org/drawingml/2006/picture">
                <pic:pic>
                  <pic:nvPicPr>
                    <pic:cNvPr id="0" name="2e1317e4d9227ab8250a4f9001f954569919ab19756b31f49db3855f2406db9d.png"/>
                    <pic:cNvPicPr/>
                  </pic:nvPicPr>
                  <pic:blipFill>
                    <a:blip r:embed="rId37"/>
                    <a:stretch>
                      <a:fillRect/>
                    </a:stretch>
                  </pic:blipFill>
                  <pic:spPr>
                    <a:xfrm>
                      <a:off x="0" y="0"/>
                      <a:ext cx="6217920" cy="2573642"/>
                    </a:xfrm>
                    <a:prstGeom prst="rect"/>
                  </pic:spPr>
                </pic:pic>
              </a:graphicData>
            </a:graphic>
          </wp:inline>
        </w:drawing>
      </w:r>
    </w:p>
    <w:p>
      <w:pPr>
        <w:pStyle w:val="Caption"/>
      </w:pPr>
      <w:r>
        <w:rPr>
          <w:b/>
          <w:i w:val="0"/>
        </w:rPr>
        <w:t xml:space="preserve">Steps </w:t>
      </w:r>
      <w:r>
        <w:rPr>
          <w:b/>
          <w:i w:val="0"/>
        </w:rPr>
        <w:t xml:space="preserve"> </w:t>
      </w:r>
      <w:r>
        <w:rPr>
          <w:b/>
          <w:i w:val="0"/>
        </w:rPr>
        <w:t>1, 2, 3, 4</w:t>
      </w:r>
      <w:r>
        <w:rPr>
          <w:b/>
          <w:i w:val="0"/>
        </w:rPr>
        <w:t xml:space="preserve"> </w:t>
      </w:r>
      <w:r>
        <w:rPr>
          <w:b/>
          <w:i w:val="0"/>
        </w:rPr>
        <w:t xml:space="preserve"> · </w:t>
      </w:r>
      <w:r>
        <w:rPr>
          <w:b w:val="0"/>
          <w:i w:val="0"/>
        </w:rPr>
        <w:t>Enter time, temperature, boundary condition and shared pressure by row. Switch Upper/Lower Boundary for the second surface; compare both temperature curves on the right.</w:t>
      </w:r>
      <w:r>
        <w:rPr>
          <w:b w:val="0"/>
          <w:i w:val="0"/>
        </w:rPr>
        <w:t xml:space="preserve"> </w:t>
      </w:r>
      <w:r>
        <w:rPr>
          <w:b w:val="0"/>
          <w:i w:val="0"/>
        </w:rPr>
        <w:t xml:space="preserve"> </w:t>
      </w:r>
      <w:hyperlink r:id="rId38">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pStyle w:val="Heading2"/>
      </w:pPr>
      <w:r>
        <w:t>Assemble a simulation input record</w:t>
      </w:r>
    </w:p>
    <w:p>
      <w:pPr/>
      <w:r>
        <w:rPr>
          <w:b w:val="0"/>
          <w:i w:val="0"/>
        </w:rPr>
        <w:t>In SIMULATION select Thermal, Moisture, Mechanical and EM cases, each with None available. The other blocks hold used and available records. Check the model, laminate and applicable geometry beneath each selected case.</w:t>
      </w:r>
    </w:p>
    <w:p>
      <w:pPr>
        <w:keepNext/>
        <w:jc w:val="center"/>
      </w:pPr>
      <w:r>
        <w:drawing>
          <wp:inline xmlns:a="http://schemas.openxmlformats.org/drawingml/2006/main" xmlns:pic="http://schemas.openxmlformats.org/drawingml/2006/picture">
            <wp:extent cx="6217920" cy="4897347"/>
            <wp:docPr id="41" name="Picture 41" descr="Simulation combines the earlier Solve and Summary views; this capture shows the linked laminate, geometry, process cycle and coupled analysis selectors. Review every required reference; a blank selector is not a completed connection."/>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27"/>
                    <a:stretch>
                      <a:fillRect/>
                    </a:stretch>
                  </pic:blipFill>
                  <pic:spPr>
                    <a:xfrm>
                      <a:off x="0" y="0"/>
                      <a:ext cx="6217920" cy="4897347"/>
                    </a:xfrm>
                    <a:prstGeom prst="rect"/>
                  </pic:spPr>
                </pic:pic>
              </a:graphicData>
            </a:graphic>
          </wp:inline>
        </w:drawing>
      </w:r>
    </w:p>
    <w:p>
      <w:pPr>
        <w:pStyle w:val="Caption"/>
      </w:pPr>
      <w:r>
        <w:rPr>
          <w:b w:val="0"/>
          <w:i w:val="0"/>
        </w:rPr>
        <w:t>Simulation combines the earlier Solve and Summary views; this capture shows the linked laminate, geometry, process cycle and coupled analysis selectors. Review every required reference; a blank selector is not a completed connection.</w:t>
      </w:r>
      <w:r>
        <w:rPr>
          <w:b w:val="0"/>
          <w:i w:val="0"/>
        </w:rPr>
        <w:t xml:space="preserve"> </w:t>
      </w:r>
      <w:r>
        <w:rPr>
          <w:b w:val="0"/>
          <w:i w:val="0"/>
        </w:rPr>
        <w:t xml:space="preserve"> </w:t>
      </w:r>
      <w:hyperlink r:id="rId28">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pStyle w:val="Heading2"/>
      </w:pPr>
      <w:r>
        <w:t>Review the LiveLoad schematic</w:t>
      </w:r>
    </w:p>
    <w:p>
      <w:pPr/>
      <w:r>
        <w:rPr>
          <w:b w:val="0"/>
          <w:i w:val="0"/>
        </w:rPr>
        <w:t>The LiveLoad block appears beside Loads and Thermal inputs for analysis cases. Its plate, cylinder, or thermal schematic updates with the selected geometry, boundary conditions, loads, and directions. A zero-valued load vector is greyed so active loading is immediately recognizable.</w:t>
      </w:r>
    </w:p>
    <w:p>
      <w:pPr>
        <w:pStyle w:val="Heading2"/>
      </w:pPr>
      <w:r>
        <w:t>Run the model</w:t>
      </w:r>
    </w:p>
    <w:p>
      <w:pPr/>
      <w:r>
        <w:rPr>
          <w:b w:val="0"/>
          <w:i w:val="0"/>
        </w:rPr>
        <w:t>Resolve missing selections, invalid numbers, broken references, invalid ply angles, and zero laminate thickness before choosing Run. Use the Simulation workflow for a final dependency and model check.</w:t>
      </w:r>
    </w:p>
    <w:p>
      <w:pPr>
        <w:pStyle w:val="ListBullet"/>
      </w:pPr>
      <w:r>
        <w:rPr>
          <w:b w:val="0"/>
          <w:i w:val="0"/>
        </w:rPr>
        <w:t>Confirm the LiveLoad schematic matches the intended model.</w:t>
      </w:r>
    </w:p>
    <w:p>
      <w:pPr>
        <w:pStyle w:val="ListBullet"/>
      </w:pPr>
      <w:r>
        <w:rPr>
          <w:b w:val="0"/>
          <w:i w:val="0"/>
        </w:rPr>
        <w:t>Keep the desired Results tab selected.</w:t>
      </w:r>
      <w:r>
        <w:rPr>
          <w:b w:val="0"/>
          <w:i w:val="0"/>
        </w:rPr>
        <w:t xml:space="preserve"> </w:t>
      </w:r>
      <w:r>
        <w:rPr>
          <w:b w:val="0"/>
          <w:i w:val="0"/>
        </w:rPr>
        <w:t xml:space="preserve"> </w:t>
      </w:r>
      <w:hyperlink r:id="rId68">
        <w:r>
          <w:rPr>
            <w:color w:val="176EA4"/>
          </w:rPr>
          <w:t>See screenshot</w:t>
        </w:r>
      </w:hyperlink>
      <w:r>
        <w:t xml:space="preserve"> </w:t>
      </w:r>
    </w:p>
    <w:p>
      <w:pPr>
        <w:pStyle w:val="ListBullet"/>
      </w:pPr>
      <w:r>
        <w:rPr>
          <w:b w:val="0"/>
          <w:i w:val="0"/>
        </w:rPr>
        <w:t>Choose Run when required; the interface preserves that tab while the model executes.</w:t>
      </w:r>
      <w:r>
        <w:rPr>
          <w:b w:val="0"/>
          <w:i w:val="0"/>
        </w:rPr>
        <w:t xml:space="preserve"> </w:t>
      </w:r>
      <w:r>
        <w:rPr>
          <w:b w:val="0"/>
          <w:i w:val="0"/>
        </w:rPr>
        <w:t xml:space="preserve"> </w:t>
      </w:r>
      <w:hyperlink r:id="rId68">
        <w:r>
          <w:rPr>
            <w:color w:val="176EA4"/>
          </w:rPr>
          <w:t>See screenshot</w:t>
        </w:r>
      </w:hyperlink>
      <w:r>
        <w:t xml:space="preserve"> </w:t>
      </w:r>
    </w:p>
    <w:p>
      <w:pPr>
        <w:pStyle w:val="ListBullet"/>
      </w:pPr>
      <w:r>
        <w:rPr>
          <w:b w:val="0"/>
          <w:i w:val="0"/>
        </w:rPr>
        <w:t>Review result values, freshness and solver messages.</w:t>
      </w:r>
    </w:p>
    <w:p>
      <w:pPr>
        <w:keepNext/>
        <w:jc w:val="center"/>
      </w:pPr>
      <w:r>
        <w:drawing>
          <wp:inline xmlns:a="http://schemas.openxmlformats.org/drawingml/2006/main" xmlns:pic="http://schemas.openxmlformats.org/drawingml/2006/picture">
            <wp:extent cx="6217920" cy="4897347"/>
            <wp:docPr id="42" name="Picture 42" descr="Check the simulation references in Simulation (shown as Solve in this capture), select the intended output tab below, then use Run at the right."/>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27"/>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2, 3</w:t>
      </w:r>
      <w:r>
        <w:rPr>
          <w:b/>
          <w:i w:val="0"/>
        </w:rPr>
        <w:t xml:space="preserve"> </w:t>
      </w:r>
      <w:r>
        <w:rPr>
          <w:b/>
          <w:i w:val="0"/>
        </w:rPr>
        <w:t xml:space="preserve"> · </w:t>
      </w:r>
      <w:r>
        <w:rPr>
          <w:b w:val="0"/>
          <w:i w:val="0"/>
        </w:rPr>
        <w:t>Check the simulation references in Simulation (shown as Solve in this capture), select the intended output tab below, then use Run at the right.</w:t>
      </w:r>
      <w:r>
        <w:rPr>
          <w:b w:val="0"/>
          <w:i w:val="0"/>
        </w:rPr>
        <w:t xml:space="preserve"> </w:t>
      </w:r>
      <w:r>
        <w:rPr>
          <w:b w:val="0"/>
          <w:i w:val="0"/>
        </w:rPr>
        <w:t xml:space="preserve"> </w:t>
      </w:r>
      <w:hyperlink r:id="rId28">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pStyle w:val="Heading2"/>
      </w:pPr>
      <w:r>
        <w:t>Understand solver provenance</w:t>
      </w:r>
    </w:p>
    <w:p>
      <w:pPr/>
      <w:r>
        <w:rPr>
          <w:b w:val="0"/>
          <w:i w:val="0"/>
        </w:rPr>
        <w:t>Workbench uses its embedded production solver when no external solver endpoint is configured. When an external endpoint is configured, a timeout, rejected request or incompatible response is reported as an error; it is not silently replaced by a successful fallback result.</w:t>
      </w:r>
    </w:p>
    <w:p>
      <w:pPr>
        <w:keepNext/>
      </w:pPr>
      <w:r>
        <w:t>Good practice</w:t>
      </w:r>
    </w:p>
    <w:p>
      <w:pPr/>
      <w:r>
        <w:rPr>
          <w:b w:val="0"/>
          <w:i w:val="0"/>
        </w:rPr>
        <w:t>Keep run context, inputs and solver messages with exported evidence. The compiled Web r18 integration manuals describe a separate deployment contract, not every hosted Workbench calculation.</w:t>
      </w:r>
    </w:p>
    <w:p>
      <w:pPr>
        <w:pStyle w:val="Heading2"/>
      </w:pPr>
      <w:r>
        <w:t>Check thermal setup and accuracy</w:t>
      </w:r>
    </w:p>
    <w:p>
      <w:pPr/>
      <w:r>
        <w:rPr>
          <w:b w:val="0"/>
          <w:i w:val="0"/>
        </w:rPr>
        <w:t>A thermal result needs a compatible thermal case model, linked laminate, transport properties, initial conditions and its embedded cycle where required by that model. Missing setup is not a zero-temperature result.</w:t>
      </w:r>
    </w:p>
    <w:p>
      <w:pPr>
        <w:pStyle w:val="ListBullet"/>
      </w:pPr>
      <w:r>
        <w:rPr>
          <w:b w:val="0"/>
          <w:i w:val="0"/>
        </w:rPr>
        <w:t>Follow the missing-setup message to the linked source record rather than interpreting an empty plot.</w:t>
      </w:r>
    </w:p>
    <w:p>
      <w:pPr>
        <w:pStyle w:val="ListBullet"/>
      </w:pPr>
      <w:r>
        <w:rPr>
          <w:b w:val="0"/>
          <w:i w:val="0"/>
        </w:rPr>
        <w:t>After upstream edits, rerun before using a saved temperature, cure or moisture history.</w:t>
      </w:r>
    </w:p>
    <w:p>
      <w:pPr>
        <w:pStyle w:val="ListBullet"/>
      </w:pPr>
      <w:r>
        <w:rPr>
          <w:b w:val="0"/>
          <w:i w:val="0"/>
        </w:rPr>
        <w:t>Refine through-thickness resolution and review temperature gradients and numerical diagnostics.</w:t>
      </w:r>
    </w:p>
    <w:p>
      <w:pPr>
        <w:pStyle w:val="ListBullet"/>
      </w:pPr>
      <w:r>
        <w:rPr>
          <w:b w:val="0"/>
          <w:i w:val="0"/>
        </w:rPr>
        <w:t>Output spacing controls saved samples; it is not the integration accuracy target. The transient solver checks full-step/two-half-step agreement.</w:t>
      </w:r>
    </w:p>
    <w:p>
      <w:pPr>
        <w:keepNext/>
      </w:pPr>
      <w:r>
        <w:t>Good practice</w:t>
      </w:r>
    </w:p>
    <w:p>
      <w:pPr/>
      <w:r>
        <w:rPr>
          <w:b w:val="0"/>
          <w:i w:val="0"/>
        </w:rPr>
        <w:t>A visually smooth temperature field is not evidence of convergence. An accuracy or integration failure must be resolved before relying on coupled results.</w:t>
      </w:r>
    </w:p>
    <w:p>
      <w:pPr>
        <w:pStyle w:val="Heading2"/>
      </w:pPr>
      <w:r>
        <w:t>Include cure exotherm and evolving modulus</w:t>
      </w:r>
    </w:p>
    <w:p>
      <w:pPr/>
      <w:r>
        <w:rPr>
          <w:b w:val="0"/>
          <w:i w:val="0"/>
        </w:rPr>
        <w:t>Transient thermal analysis can include the heat released by cure. The selected cure-dependent modulus model then changes the stiffness used to develop process stress as degree of cure evolves.</w:t>
      </w:r>
    </w:p>
    <w:p>
      <w:pPr>
        <w:pStyle w:val="ListBullet"/>
      </w:pPr>
      <w:r>
        <w:rPr>
          <w:b w:val="0"/>
          <w:i w:val="0"/>
        </w:rPr>
        <w:t>Assign a cure-kinetics model, total heat of reaction, density and heat capacity to the material or ply.</w:t>
      </w:r>
    </w:p>
    <w:p>
      <w:pPr>
        <w:pStyle w:val="ListBullet"/>
      </w:pPr>
      <w:r>
        <w:rPr>
          <w:b w:val="0"/>
          <w:i w:val="0"/>
        </w:rPr>
        <w:t>Enable cure exotherm when the thermal solution should include reaction heat; leave it off for externally imposed thermal histories that intentionally exclude self-heating.</w:t>
      </w:r>
      <w:r>
        <w:rPr>
          <w:b w:val="0"/>
          <w:i w:val="0"/>
        </w:rPr>
        <w:t xml:space="preserve"> </w:t>
      </w:r>
      <w:r>
        <w:rPr>
          <w:b w:val="0"/>
          <w:i w:val="0"/>
        </w:rPr>
        <w:t xml:space="preserve"> </w:t>
      </w:r>
      <w:hyperlink r:id="rId69">
        <w:r>
          <w:rPr>
            <w:color w:val="176EA4"/>
          </w:rPr>
          <w:t>See screenshot</w:t>
        </w:r>
      </w:hyperlink>
      <w:r>
        <w:t xml:space="preserve"> </w:t>
      </w:r>
    </w:p>
    <w:p>
      <w:pPr>
        <w:pStyle w:val="ListBullet"/>
      </w:pPr>
      <w:r>
        <w:rPr>
          <w:b w:val="0"/>
          <w:i w:val="0"/>
        </w:rPr>
        <w:t>Assign the cure-dependent modulus model and review its editable transition, rubbery/glassy modulus and shape parameters.</w:t>
      </w:r>
    </w:p>
    <w:p>
      <w:pPr>
        <w:pStyle w:val="ListBullet"/>
      </w:pPr>
      <w:r>
        <w:rPr>
          <w:b w:val="0"/>
          <w:i w:val="0"/>
        </w:rPr>
        <w:t>Rerun after changing kinetics, transport, cure heat, modulus evolution or shrinkage. These inputs affect later residual-stress and failure results.</w:t>
      </w:r>
    </w:p>
    <w:p>
      <w:pPr>
        <w:keepNext/>
        <w:jc w:val="center"/>
      </w:pPr>
      <w:r>
        <w:drawing>
          <wp:inline xmlns:a="http://schemas.openxmlformats.org/drawingml/2006/main" xmlns:pic="http://schemas.openxmlformats.org/drawingml/2006/picture">
            <wp:extent cx="6217920" cy="4897347"/>
            <wp:docPr id="43" name="Picture 43" descr="Include cure exotherm is an explicit option in Process optimization. It uses the linked resin; it does not supply missing kinetics or heat-of-reaction data."/>
            <wp:cNvGraphicFramePr>
              <a:graphicFrameLocks noChangeAspect="1"/>
            </wp:cNvGraphicFramePr>
            <a:graphic>
              <a:graphicData uri="http://schemas.openxmlformats.org/drawingml/2006/picture">
                <pic:pic>
                  <pic:nvPicPr>
                    <pic:cNvPr id="0" name="7f035c63de7baf9d7e1d0fa9879f7b13097a07f39d944e3a1500daa25c5fe02f.png"/>
                    <pic:cNvPicPr/>
                  </pic:nvPicPr>
                  <pic:blipFill>
                    <a:blip r:embed="rId70"/>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2</w:t>
      </w:r>
      <w:r>
        <w:rPr>
          <w:b/>
          <w:i w:val="0"/>
        </w:rPr>
        <w:t xml:space="preserve"> </w:t>
      </w:r>
      <w:r>
        <w:rPr>
          <w:b/>
          <w:i w:val="0"/>
        </w:rPr>
        <w:t xml:space="preserve"> · </w:t>
      </w:r>
      <w:r>
        <w:rPr>
          <w:b w:val="0"/>
          <w:i w:val="0"/>
        </w:rPr>
        <w:t>Include cure exotherm is an explicit option in Process optimization. It uses the linked resin; it does not supply missing kinetics or heat-of-reaction data.</w:t>
      </w:r>
      <w:r>
        <w:rPr>
          <w:b w:val="0"/>
          <w:i w:val="0"/>
        </w:rPr>
        <w:t xml:space="preserve"> </w:t>
      </w:r>
      <w:r>
        <w:rPr>
          <w:b w:val="0"/>
          <w:i w:val="0"/>
        </w:rPr>
        <w:t xml:space="preserve"> </w:t>
      </w:r>
      <w:hyperlink r:id="rId71">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Steady-state conduction can solve a final temperature field, but cure evolution, exotherm and time-dependent stress development require a transient history.</w:t>
      </w:r>
    </w:p>
    <w:p>
      <w:pPr>
        <w:pStyle w:val="Heading2"/>
      </w:pPr>
      <w:r>
        <w:t>Optimize an oven or process cycle</w:t>
      </w:r>
    </w:p>
    <w:p>
      <w:pPr/>
      <w:r>
        <w:rPr>
          <w:b w:val="0"/>
          <w:i w:val="0"/>
        </w:rPr>
        <w:t>Process optimization varies selected surface-cycle controls to meet a target core temperature or cure state while reducing time, overshoot or other configured penalties.</w:t>
      </w:r>
    </w:p>
    <w:p>
      <w:pPr>
        <w:pStyle w:val="ListBullet"/>
      </w:pPr>
      <w:r>
        <w:rPr>
          <w:b w:val="0"/>
          <w:i w:val="0"/>
        </w:rPr>
        <w:t>Choose Process in Optimize Inputs and select the thermal case and its laminate. Review the cycle owned by that case.</w:t>
      </w:r>
      <w:r>
        <w:rPr>
          <w:b w:val="0"/>
          <w:i w:val="0"/>
        </w:rPr>
        <w:t xml:space="preserve"> </w:t>
      </w:r>
      <w:r>
        <w:rPr>
          <w:b w:val="0"/>
          <w:i w:val="0"/>
        </w:rPr>
        <w:t xml:space="preserve"> </w:t>
      </w:r>
      <w:hyperlink r:id="rId72">
        <w:r>
          <w:rPr>
            <w:color w:val="176EA4"/>
          </w:rPr>
          <w:t>See screenshot</w:t>
        </w:r>
      </w:hyperlink>
      <w:r>
        <w:t xml:space="preserve"> </w:t>
      </w:r>
    </w:p>
    <w:p>
      <w:pPr>
        <w:pStyle w:val="ListBullet"/>
      </w:pPr>
      <w:r>
        <w:rPr>
          <w:b w:val="0"/>
          <w:i w:val="0"/>
        </w:rPr>
        <w:t>Choose a target such as core temperature, degree of cure, maximum temperature difference, overshoot or total cycle time.</w:t>
      </w:r>
      <w:r>
        <w:rPr>
          <w:b w:val="0"/>
          <w:i w:val="0"/>
        </w:rPr>
        <w:t xml:space="preserve"> </w:t>
      </w:r>
      <w:r>
        <w:rPr>
          <w:b w:val="0"/>
          <w:i w:val="0"/>
        </w:rPr>
        <w:t xml:space="preserve"> </w:t>
      </w:r>
      <w:hyperlink r:id="rId72">
        <w:r>
          <w:rPr>
            <w:color w:val="176EA4"/>
          </w:rPr>
          <w:t>See screenshot</w:t>
        </w:r>
      </w:hyperlink>
      <w:r>
        <w:t xml:space="preserve"> </w:t>
      </w:r>
    </w:p>
    <w:p>
      <w:pPr>
        <w:pStyle w:val="ListBullet"/>
      </w:pPr>
      <w:r>
        <w:rPr>
          <w:b w:val="0"/>
          <w:i w:val="0"/>
        </w:rPr>
        <w:t>Select the editable boundary variables—surface temperatures, ramp rates, dwell temperatures or dwell durations—and define bounds and constraints.</w:t>
      </w:r>
      <w:r>
        <w:rPr>
          <w:b w:val="0"/>
          <w:i w:val="0"/>
        </w:rPr>
        <w:t xml:space="preserve"> </w:t>
      </w:r>
      <w:r>
        <w:rPr>
          <w:b w:val="0"/>
          <w:i w:val="0"/>
        </w:rPr>
        <w:t xml:space="preserve"> </w:t>
      </w:r>
      <w:hyperlink r:id="rId72">
        <w:r>
          <w:rPr>
            <w:color w:val="176EA4"/>
          </w:rPr>
          <w:t>See screenshot</w:t>
        </w:r>
      </w:hyperlink>
      <w:r>
        <w:t xml:space="preserve"> </w:t>
      </w:r>
    </w:p>
    <w:p>
      <w:pPr>
        <w:pStyle w:val="ListBullet"/>
      </w:pPr>
      <w:r>
        <w:rPr>
          <w:b w:val="0"/>
          <w:i w:val="0"/>
        </w:rPr>
        <w:t>Choose steady-state only for equilibrium targets. Use transient mode for ramps, dwells, core lag, cure exotherm, evolving modulus and stress development.</w:t>
      </w:r>
    </w:p>
    <w:p>
      <w:pPr>
        <w:pStyle w:val="ListBullet"/>
      </w:pPr>
      <w:r>
        <w:rPr>
          <w:b w:val="0"/>
          <w:i w:val="0"/>
        </w:rPr>
        <w:t>Run the bounded search, inspect feasibility and convergence, save a snapshot, then apply the candidate to the case-owned cycle and review the resulting case.</w:t>
      </w:r>
    </w:p>
    <w:p>
      <w:pPr>
        <w:pStyle w:val="ListBullet"/>
      </w:pPr>
      <w:r>
        <w:rPr>
          <w:b w:val="0"/>
          <w:i w:val="0"/>
        </w:rPr>
        <w:t>Rerun the full coupled simulation before accepting residual stress, distortion or failure results from the optimized cycle.</w:t>
      </w:r>
    </w:p>
    <w:p>
      <w:pPr>
        <w:keepNext/>
        <w:jc w:val="center"/>
      </w:pPr>
      <w:r>
        <w:drawing>
          <wp:inline xmlns:a="http://schemas.openxmlformats.org/drawingml/2006/main" xmlns:pic="http://schemas.openxmlformats.org/drawingml/2006/picture">
            <wp:extent cx="6217920" cy="4897347"/>
            <wp:docPr id="44" name="Picture 44" descr="Choose Process in Optimize, select the thermal case, then set the core target, hold time, temperature limits and bounded time/boundary multipliers. Review assumptions before running."/>
            <wp:cNvGraphicFramePr>
              <a:graphicFrameLocks noChangeAspect="1"/>
            </wp:cNvGraphicFramePr>
            <a:graphic>
              <a:graphicData uri="http://schemas.openxmlformats.org/drawingml/2006/picture">
                <pic:pic>
                  <pic:nvPicPr>
                    <pic:cNvPr id="0" name="7f035c63de7baf9d7e1d0fa9879f7b13097a07f39d944e3a1500daa25c5fe02f.png"/>
                    <pic:cNvPicPr/>
                  </pic:nvPicPr>
                  <pic:blipFill>
                    <a:blip r:embed="rId70"/>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1, 2, 3</w:t>
      </w:r>
      <w:r>
        <w:rPr>
          <w:b/>
          <w:i w:val="0"/>
        </w:rPr>
        <w:t xml:space="preserve"> </w:t>
      </w:r>
      <w:r>
        <w:rPr>
          <w:b/>
          <w:i w:val="0"/>
        </w:rPr>
        <w:t xml:space="preserve"> · </w:t>
      </w:r>
      <w:r>
        <w:rPr>
          <w:b w:val="0"/>
          <w:i w:val="0"/>
        </w:rPr>
        <w:t>Choose Process in Optimize, select the thermal case, then set the core target, hold time, temperature limits and bounded time/boundary multipliers. Review assumptions before running.</w:t>
      </w:r>
      <w:r>
        <w:rPr>
          <w:b w:val="0"/>
          <w:i w:val="0"/>
        </w:rPr>
        <w:t xml:space="preserve"> </w:t>
      </w:r>
      <w:r>
        <w:rPr>
          <w:b w:val="0"/>
          <w:i w:val="0"/>
        </w:rPr>
        <w:t xml:space="preserve"> </w:t>
      </w:r>
      <w:hyperlink r:id="rId71">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The optimizer is only as physical as the linked conductivity, density, heat capacity, convection, kinetics and cure-heat data. Missing transport data must be supplied or explicitly represented by visible editable fallback inputs.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8" w:name="chapter_8"/>
      <w:pPr>
        <w:pStyle w:val="Heading1"/>
        <w:pageBreakBefore/>
      </w:pPr>
      <w:r>
        <w:t>8 Get started with the CDS Workbench</w:t>
      </w:r>
      <w:bookmarkEnd w:id="8"/>
    </w:p>
    <w:p>
      <w:pPr>
        <w:pStyle w:val="Caption"/>
      </w:pPr>
      <w:hyperlink r:id="rId73">
        <w:r>
          <w:rPr>
            <w:color w:val="176EA4"/>
          </w:rPr>
          <w:t>Online chapter</w:t>
        </w:r>
      </w:hyperlink>
      <w:r>
        <w:t xml:space="preserve"> </w:t>
      </w:r>
    </w:p>
    <w:p>
      <w:pPr/>
      <w:r>
        <w:rPr>
          <w:b w:val="0"/>
          <w:i w:val="0"/>
        </w:rPr>
        <w:t>A short path from sign-in and a safe first edit to a verified solver run.</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r>
        <w:t>Trace the selected input path</w:t>
      </w:r>
    </w:p>
    <w:p>
      <w:r>
        <w:t>Ply property source</w:t>
      </w:r>
    </w:p>
    <w:p>
      <w:r>
        <w:t>Include thermal analysis</w:t>
      </w:r>
    </w:p>
    <w:p>
      <w:r>
        <w:t>Include moisture analysis</w:t>
      </w:r>
    </w:p>
    <w:p>
      <w:r>
        <w:t>Include optional fatigue assessment</w:t>
      </w:r>
    </w:p>
    <w:p>
      <w:pPr/>
      <w:r>
        <w:rPr>
          <w:b w:val="0"/>
          <w:i w:val="0"/>
        </w:rPr>
        <w:t>Stored ply properties bypass Micro. Mixed stacks keep both paths. Gray blocks are not selected. Geometry, process schedules and other model records are omitted here for clarity; a real run must include all required references.</w:t>
      </w:r>
    </w:p>
    <w:p>
      <w:pPr/>
      <w:r>
        <w:rPr>
          <w:b w:val="0"/>
          <w:i w:val="0"/>
        </w:rPr>
        <w:t>Fatigue uses intact CLT endpoint stresses and measured S–N calibration. It is evaluated separately from Run and progressive failure. The dashed handoff is not active: optimization still uses current properties until a degradation law is supplied.</w:t>
      </w:r>
    </w:p>
    <w:p>
      <w:pPr>
        <w:keepNext w:val="0"/>
        <w:jc w:val="center"/>
      </w:pPr>
      <w:r>
        <w:drawing>
          <wp:inline xmlns:a="http://schemas.openxmlformats.org/drawingml/2006/main" xmlns:pic="http://schemas.openxmlformats.org/drawingml/2006/picture">
            <wp:extent cx="6217920" cy="1935767"/>
            <wp:docPr id="45" name="Picture 45" descr="CDS workflow or model illustration"/>
            <wp:cNvGraphicFramePr>
              <a:graphicFrameLocks noChangeAspect="1"/>
            </wp:cNvGraphicFramePr>
            <a:graphic>
              <a:graphicData uri="http://schemas.openxmlformats.org/drawingml/2006/picture">
                <pic:pic>
                  <pic:nvPicPr>
                    <pic:cNvPr id="0" name="rsvg-615023cf647a6b49632caca708c0ff60ff2cc31c35130238cbb49066f80dac56.png"/>
                    <pic:cNvPicPr/>
                  </pic:nvPicPr>
                  <pic:blipFill>
                    <a:blip r:embed="rId15"/>
                    <a:stretch>
                      <a:fillRect/>
                    </a:stretch>
                  </pic:blipFill>
                  <pic:spPr>
                    <a:xfrm>
                      <a:off x="0" y="0"/>
                      <a:ext cx="6217920" cy="1935767"/>
                    </a:xfrm>
                    <a:prstGeom prst="rect"/>
                  </pic:spPr>
                </pic:pic>
              </a:graphicData>
            </a:graphic>
          </wp:inline>
        </w:drawing>
      </w:r>
    </w:p>
    <w:p>
      <w:pPr/>
      <w:r>
        <w:rPr>
          <w:b w:val="0"/>
          <w:i w:val="0"/>
        </w:rPr>
        <w:t>Materials → Micro → Laminate.</w:t>
      </w:r>
    </w:p>
    <w:p>
      <w:pPr/>
      <w:hyperlink r:id="rId16">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Open the Workbench</w:t>
      </w:r>
    </w:p>
    <w:p>
      <w:pPr/>
      <w:r>
        <w:rPr>
          <w:b w:val="0"/>
          <w:i w:val="0"/>
        </w:rPr>
        <w:t>Register and verify your CDS account, then sign in and choose SIMULATE to launch Workbench. Account registration is required, including for the 30-day demo. Your active license determines permitted modules and models.</w:t>
      </w:r>
    </w:p>
    <w:p>
      <w:pPr>
        <w:pStyle w:val="ListBullet"/>
      </w:pPr>
      <w:r>
        <w:rPr>
          <w:b w:val="0"/>
          <w:i w:val="0"/>
        </w:rPr>
        <w:t>Confirm the correct account is signed in.</w:t>
      </w:r>
    </w:p>
    <w:p>
      <w:pPr>
        <w:pStyle w:val="ListBullet"/>
      </w:pPr>
      <w:r>
        <w:rPr>
          <w:b w:val="0"/>
          <w:i w:val="0"/>
        </w:rPr>
        <w:t>Choose a starter exercise or open your saved CDS database. Save current work before replacing the workspace.</w:t>
      </w:r>
    </w:p>
    <w:p>
      <w:pPr>
        <w:pStyle w:val="ListBullet"/>
      </w:pPr>
      <w:r>
        <w:rPr>
          <w:b w:val="0"/>
          <w:i w:val="0"/>
        </w:rPr>
        <w:t>Use CREATE for a guided starting design, DISCOVER for exploration, or SIMULATE for the standard workspace.</w:t>
      </w:r>
    </w:p>
    <w:p>
      <w:pPr>
        <w:pStyle w:val="Heading2"/>
      </w:pPr>
      <w:r>
        <w:t>Understand the workspace</w:t>
      </w:r>
    </w:p>
    <w:p>
      <w:pPr/>
      <w:r>
        <w:rPr>
          <w:b w:val="0"/>
          <w:i w:val="0"/>
        </w:rPr>
        <w:t>The compact project tree is on the left, the selected record editor occupies the main workspace, and the result summary remains visually separate. Single-click selects a record; use its chevron or double-click the row to open children.</w:t>
      </w:r>
    </w:p>
    <w:p>
      <w:pPr>
        <w:keepNext/>
        <w:jc w:val="center"/>
      </w:pPr>
      <w:r>
        <w:drawing>
          <wp:inline xmlns:a="http://schemas.openxmlformats.org/drawingml/2006/main" xmlns:pic="http://schemas.openxmlformats.org/drawingml/2006/picture">
            <wp:extent cx="6217920" cy="4304354"/>
            <wp:docPr id="46" name="Picture 46" descr="Navigate in the left tree, edit the selected record above, and review outputs below."/>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21"/>
                    <a:stretch>
                      <a:fillRect/>
                    </a:stretch>
                  </pic:blipFill>
                  <pic:spPr>
                    <a:xfrm>
                      <a:off x="0" y="0"/>
                      <a:ext cx="6217920" cy="4304354"/>
                    </a:xfrm>
                    <a:prstGeom prst="rect"/>
                  </pic:spPr>
                </pic:pic>
              </a:graphicData>
            </a:graphic>
          </wp:inline>
        </w:drawing>
      </w:r>
    </w:p>
    <w:p>
      <w:pPr>
        <w:pStyle w:val="Caption"/>
      </w:pPr>
      <w:r>
        <w:rPr>
          <w:b w:val="0"/>
          <w:i w:val="0"/>
        </w:rPr>
        <w:t>Navigate in the left tree, edit the selected record above, and review outputs below.</w:t>
      </w:r>
      <w:r>
        <w:rPr>
          <w:b w:val="0"/>
          <w:i w:val="0"/>
        </w:rPr>
        <w:t xml:space="preserve"> </w:t>
      </w:r>
      <w:r>
        <w:rPr>
          <w:b w:val="0"/>
          <w:i w:val="0"/>
        </w:rPr>
        <w:t xml:space="preserve"> </w:t>
      </w:r>
      <w:hyperlink r:id="rId22">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Use Materials, Micro, Laminates and Geometry to prepare inputs. Thermal, Moisture, Mechanical and EM CASES own their models and cycles. Choose the run combination in the SIMULATION block.</w:t>
      </w:r>
    </w:p>
    <w:p>
      <w:pPr>
        <w:pStyle w:val="Heading2"/>
      </w:pPr>
      <w:r>
        <w:t>Make your first edit</w:t>
      </w:r>
    </w:p>
    <w:p>
      <w:pPr/>
      <w:r>
        <w:rPr>
          <w:b w:val="0"/>
          <w:i w:val="0"/>
        </w:rPr>
        <w:t>Duplicate a teaching record, unlock one property, enter a valid numeric value, confirm its units, and lock it again.</w:t>
      </w:r>
    </w:p>
    <w:p>
      <w:pPr>
        <w:pStyle w:val="ListBullet"/>
      </w:pPr>
      <w:r>
        <w:rPr>
          <w:b w:val="0"/>
          <w:i w:val="0"/>
        </w:rPr>
        <w:t>Select the record.</w:t>
      </w:r>
      <w:r>
        <w:rPr>
          <w:b w:val="0"/>
          <w:i w:val="0"/>
        </w:rPr>
        <w:t xml:space="preserve"> </w:t>
      </w:r>
      <w:r>
        <w:rPr>
          <w:b w:val="0"/>
          <w:i w:val="0"/>
        </w:rPr>
        <w:t xml:space="preserve"> </w:t>
      </w:r>
      <w:hyperlink r:id="rId74">
        <w:r>
          <w:rPr>
            <w:color w:val="176EA4"/>
          </w:rPr>
          <w:t>See screenshot</w:t>
        </w:r>
      </w:hyperlink>
      <w:r>
        <w:t xml:space="preserve"> </w:t>
      </w:r>
    </w:p>
    <w:p>
      <w:pPr>
        <w:pStyle w:val="ListBullet"/>
      </w:pPr>
      <w:r>
        <w:rPr>
          <w:b w:val="0"/>
          <w:i w:val="0"/>
        </w:rPr>
        <w:t>Find the property by its name and description.</w:t>
      </w:r>
      <w:r>
        <w:rPr>
          <w:b w:val="0"/>
          <w:i w:val="0"/>
        </w:rPr>
        <w:t xml:space="preserve"> </w:t>
      </w:r>
      <w:r>
        <w:rPr>
          <w:b w:val="0"/>
          <w:i w:val="0"/>
        </w:rPr>
        <w:t xml:space="preserve"> </w:t>
      </w:r>
      <w:hyperlink r:id="rId74">
        <w:r>
          <w:rPr>
            <w:color w:val="176EA4"/>
          </w:rPr>
          <w:t>See screenshot</w:t>
        </w:r>
      </w:hyperlink>
      <w:r>
        <w:t xml:space="preserve"> </w:t>
      </w:r>
    </w:p>
    <w:p>
      <w:pPr>
        <w:pStyle w:val="ListBullet"/>
      </w:pPr>
      <w:r>
        <w:rPr>
          <w:b w:val="0"/>
          <w:i w:val="0"/>
        </w:rPr>
        <w:t>Unlock the row, edit the value, then lock it.</w:t>
      </w:r>
      <w:r>
        <w:rPr>
          <w:b w:val="0"/>
          <w:i w:val="0"/>
        </w:rPr>
        <w:t xml:space="preserve"> </w:t>
      </w:r>
      <w:r>
        <w:rPr>
          <w:b w:val="0"/>
          <w:i w:val="0"/>
        </w:rPr>
        <w:t xml:space="preserve"> </w:t>
      </w:r>
      <w:hyperlink r:id="rId74">
        <w:r>
          <w:rPr>
            <w:color w:val="176EA4"/>
          </w:rPr>
          <w:t>See screenshot</w:t>
        </w:r>
      </w:hyperlink>
      <w:r>
        <w:t xml:space="preserve"> </w:t>
      </w:r>
    </w:p>
    <w:p>
      <w:pPr>
        <w:pStyle w:val="ListBullet"/>
      </w:pPr>
      <w:r>
        <w:rPr>
          <w:b w:val="0"/>
          <w:i w:val="0"/>
        </w:rPr>
        <w:t>Save the record and keep a dependency-complete CDS database checkpoint.</w:t>
      </w:r>
    </w:p>
    <w:p>
      <w:pPr>
        <w:keepNext/>
        <w:jc w:val="center"/>
      </w:pPr>
      <w:r>
        <w:drawing>
          <wp:inline xmlns:a="http://schemas.openxmlformats.org/drawingml/2006/main" xmlns:pic="http://schemas.openxmlformats.org/drawingml/2006/picture">
            <wp:extent cx="6217920" cy="4304354"/>
            <wp:docPr id="47" name="Picture 47" descr="Find the variable, confirm its units, then use the row lock and numeric value. Save is at the top right."/>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21"/>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1, 2, 3</w:t>
      </w:r>
      <w:r>
        <w:rPr>
          <w:b/>
          <w:i w:val="0"/>
        </w:rPr>
        <w:t xml:space="preserve"> </w:t>
      </w:r>
      <w:r>
        <w:rPr>
          <w:b/>
          <w:i w:val="0"/>
        </w:rPr>
        <w:t xml:space="preserve"> · </w:t>
      </w:r>
      <w:r>
        <w:rPr>
          <w:b w:val="0"/>
          <w:i w:val="0"/>
        </w:rPr>
        <w:t>Find the variable, confirm its units, then use the row lock and numeric value. Save is at the top right.</w:t>
      </w:r>
      <w:r>
        <w:rPr>
          <w:b w:val="0"/>
          <w:i w:val="0"/>
        </w:rPr>
        <w:t xml:space="preserve"> </w:t>
      </w:r>
      <w:r>
        <w:rPr>
          <w:b w:val="0"/>
          <w:i w:val="0"/>
        </w:rPr>
        <w:t xml:space="preserve"> </w:t>
      </w:r>
      <w:hyperlink r:id="rId22">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pStyle w:val="Heading2"/>
      </w:pPr>
      <w:r>
        <w:t>Run and review a case</w:t>
      </w:r>
    </w:p>
    <w:p>
      <w:pPr/>
      <w:r>
        <w:rPr>
          <w:b w:val="0"/>
          <w:i w:val="0"/>
        </w:rPr>
        <w:t>Select a simulation and inspect its connected inputs and model choices in the Simulation workflow. Eligible quick studies refresh after editing pauses; longer calculations require Run.</w:t>
      </w:r>
    </w:p>
    <w:p>
      <w:pPr>
        <w:pStyle w:val="ListBullet"/>
      </w:pPr>
      <w:r>
        <w:rPr>
          <w:b w:val="0"/>
          <w:i w:val="0"/>
        </w:rPr>
        <w:t>Resolve missing setup, invalid inputs and incompatible model selections.</w:t>
      </w:r>
      <w:r>
        <w:rPr>
          <w:b w:val="0"/>
          <w:i w:val="0"/>
        </w:rPr>
        <w:t xml:space="preserve"> </w:t>
      </w:r>
      <w:r>
        <w:rPr>
          <w:b w:val="0"/>
          <w:i w:val="0"/>
        </w:rPr>
        <w:t xml:space="preserve"> </w:t>
      </w:r>
      <w:hyperlink r:id="rId75">
        <w:r>
          <w:rPr>
            <w:color w:val="176EA4"/>
          </w:rPr>
          <w:t>See screenshot</w:t>
        </w:r>
      </w:hyperlink>
      <w:r>
        <w:t xml:space="preserve"> </w:t>
      </w:r>
    </w:p>
    <w:p>
      <w:pPr>
        <w:pStyle w:val="ListBullet"/>
      </w:pPr>
      <w:r>
        <w:rPr>
          <w:b w:val="0"/>
          <w:i w:val="0"/>
        </w:rPr>
        <w:t>Check geometry, boundary conditions and loading in LiveLoad.</w:t>
      </w:r>
    </w:p>
    <w:p>
      <w:pPr>
        <w:pStyle w:val="ListBullet"/>
      </w:pPr>
      <w:r>
        <w:rPr>
          <w:b w:val="0"/>
          <w:i w:val="0"/>
        </w:rPr>
        <w:t>Choose Run when required and wait for completion.</w:t>
      </w:r>
      <w:r>
        <w:rPr>
          <w:b w:val="0"/>
          <w:i w:val="0"/>
        </w:rPr>
        <w:t xml:space="preserve"> </w:t>
      </w:r>
      <w:r>
        <w:rPr>
          <w:b w:val="0"/>
          <w:i w:val="0"/>
        </w:rPr>
        <w:t xml:space="preserve"> </w:t>
      </w:r>
      <w:hyperlink r:id="rId75">
        <w:r>
          <w:rPr>
            <w:color w:val="176EA4"/>
          </w:rPr>
          <w:t>See screenshot</w:t>
        </w:r>
      </w:hyperlink>
      <w:r>
        <w:t xml:space="preserve"> </w:t>
      </w:r>
    </w:p>
    <w:p>
      <w:pPr>
        <w:pStyle w:val="ListBullet"/>
      </w:pPr>
      <w:r>
        <w:rPr>
          <w:b w:val="0"/>
          <w:i w:val="0"/>
        </w:rPr>
        <w:t>Review the relevant output and its freshness, units, assumptions and convergence.</w:t>
      </w:r>
    </w:p>
    <w:p>
      <w:pPr>
        <w:keepNext/>
        <w:jc w:val="center"/>
      </w:pPr>
      <w:r>
        <w:drawing>
          <wp:inline xmlns:a="http://schemas.openxmlformats.org/drawingml/2006/main" xmlns:pic="http://schemas.openxmlformats.org/drawingml/2006/picture">
            <wp:extent cx="6217920" cy="4897347"/>
            <wp:docPr id="48" name="Picture 48" descr="Review the linked records in Simulation (shown as Solve in this capture) and use Run on the output toolbar."/>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27"/>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1, 3</w:t>
      </w:r>
      <w:r>
        <w:rPr>
          <w:b/>
          <w:i w:val="0"/>
        </w:rPr>
        <w:t xml:space="preserve"> </w:t>
      </w:r>
      <w:r>
        <w:rPr>
          <w:b/>
          <w:i w:val="0"/>
        </w:rPr>
        <w:t xml:space="preserve"> · </w:t>
      </w:r>
      <w:r>
        <w:rPr>
          <w:b w:val="0"/>
          <w:i w:val="0"/>
        </w:rPr>
        <w:t>Review the linked records in Simulation (shown as Solve in this capture) and use Run on the output toolbar.</w:t>
      </w:r>
      <w:r>
        <w:rPr>
          <w:b w:val="0"/>
          <w:i w:val="0"/>
        </w:rPr>
        <w:t xml:space="preserve"> </w:t>
      </w:r>
      <w:r>
        <w:rPr>
          <w:b w:val="0"/>
          <w:i w:val="0"/>
        </w:rPr>
        <w:t xml:space="preserve"> </w:t>
      </w:r>
      <w:hyperlink r:id="rId28">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A completed calculation is not a design pass. Changing upstream inputs can make saved results outdated; navigation, animated arrows and old plots do not confirm a new solve.</w:t>
      </w:r>
    </w:p>
    <w:p>
      <w:pPr>
        <w:pStyle w:val="Heading2"/>
      </w:pPr>
      <w:r>
        <w:t>Find the manuals and exercise databases</w:t>
      </w:r>
    </w:p>
    <w:p>
      <w:pPr/>
      <w:r>
        <w:rPr>
          <w:b w:val="0"/>
          <w:i w:val="0"/>
        </w:rPr>
        <w:t>Open Your account → Your CDS library for the current overview PDF, User Guide, Theory Manual and complete exercise collection. Read the exercise instructions and two-layer workflow before opening its database.</w:t>
      </w:r>
    </w:p>
    <w:p>
      <w:pPr>
        <w:keepNext/>
      </w:pPr>
      <w:r>
        <w:t>Good practice</w:t>
      </w:r>
    </w:p>
    <w:p>
      <w:pPr/>
      <w:r>
        <w:rPr>
          <w:b w:val="0"/>
          <w:i w:val="0"/>
        </w:rPr>
        <w:t>An active license is required for database downloads. Teaching inputs are not certified design allowables; models still require the appropriate permissions.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9" w:name="chapter_9"/>
      <w:pPr>
        <w:pStyle w:val="Heading1"/>
        <w:pageBreakBefore/>
      </w:pPr>
      <w:r>
        <w:t>9 Exercise validation study evidence not blanket passes</w:t>
      </w:r>
      <w:bookmarkEnd w:id="9"/>
    </w:p>
    <w:p>
      <w:pPr>
        <w:pStyle w:val="Caption"/>
      </w:pPr>
      <w:hyperlink r:id="rId76">
        <w:r>
          <w:rPr>
            <w:color w:val="176EA4"/>
          </w:rPr>
          <w:t>Online chapter</w:t>
        </w:r>
      </w:hyperlink>
      <w:r>
        <w:t xml:space="preserve"> </w:t>
      </w:r>
    </w:p>
    <w:p>
      <w:r>
        <w:t>Comparison values are rounded for readability. The linked validation evidence retains full-precision values, exact input records and reproducibility identifiers.</w:t>
      </w:r>
    </w:p>
    <w:p>
      <w:pPr/>
      <w:r>
        <w:rPr>
          <w:b w:val="0"/>
          <w:i w:val="0"/>
        </w:rPr>
        <w:t>Recorded production-solver comparisons against published equations and source-matched public calculations.</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pStyle w:val="Heading2"/>
      </w:pPr>
      <w:r>
        <w:t>Study 2026-09-18</w:t>
      </w:r>
    </w:p>
    <w:p>
      <w:pPr/>
      <w:r>
        <w:rPr>
          <w:b w:val="0"/>
          <w:i w:val="0"/>
        </w:rPr>
        <w:t>104</w:t>
      </w:r>
      <w:r>
        <w:rPr>
          <w:b w:val="0"/>
          <w:i w:val="0"/>
        </w:rPr>
        <w:t xml:space="preserve"> </w:t>
      </w:r>
      <w:r>
        <w:rPr>
          <w:b w:val="0"/>
          <w:i w:val="0"/>
        </w:rPr>
        <w:t xml:space="preserve"> of </w:t>
      </w:r>
      <w:r>
        <w:rPr>
          <w:b w:val="0"/>
          <w:i w:val="0"/>
        </w:rPr>
        <w:t xml:space="preserve"> </w:t>
      </w:r>
      <w:r>
        <w:rPr>
          <w:b w:val="0"/>
          <w:i w:val="0"/>
        </w:rPr>
        <w:t>104</w:t>
      </w:r>
      <w:r>
        <w:rPr>
          <w:b w:val="0"/>
          <w:i w:val="0"/>
        </w:rPr>
        <w:t xml:space="preserve"> </w:t>
      </w:r>
      <w:r>
        <w:rPr>
          <w:b w:val="0"/>
          <w:i w:val="0"/>
        </w:rPr>
        <w:t xml:space="preserve"> exercise baselines executed. </w:t>
      </w:r>
      <w:r>
        <w:rPr>
          <w:b w:val="0"/>
          <w:i w:val="0"/>
        </w:rPr>
        <w:t xml:space="preserve"> </w:t>
      </w:r>
      <w:r>
        <w:rPr>
          <w:b w:val="0"/>
          <w:i w:val="0"/>
        </w:rPr>
        <w:t>39</w:t>
      </w:r>
      <w:r>
        <w:rPr>
          <w:b w:val="0"/>
          <w:i w:val="0"/>
        </w:rPr>
        <w:t xml:space="preserve"> </w:t>
      </w:r>
      <w:r>
        <w:rPr>
          <w:b w:val="0"/>
          <w:i w:val="0"/>
        </w:rPr>
        <w:t xml:space="preserve"> passed scoped analytical comparisons; </w:t>
      </w:r>
      <w:r>
        <w:rPr>
          <w:b w:val="0"/>
          <w:i w:val="0"/>
        </w:rPr>
        <w:t xml:space="preserve"> </w:t>
      </w:r>
      <w:r>
        <w:rPr>
          <w:b w:val="0"/>
          <w:i w:val="0"/>
        </w:rPr>
        <w:t>0</w:t>
      </w:r>
      <w:r>
        <w:rPr>
          <w:b w:val="0"/>
          <w:i w:val="0"/>
        </w:rPr>
        <w:t xml:space="preserve"> </w:t>
      </w:r>
      <w:r>
        <w:rPr>
          <w:b w:val="0"/>
          <w:i w:val="0"/>
        </w:rPr>
        <w:t xml:space="preserve"> have benchmark discrepancies; </w:t>
      </w:r>
      <w:r>
        <w:rPr>
          <w:b w:val="0"/>
          <w:i w:val="0"/>
        </w:rPr>
        <w:t xml:space="preserve"> </w:t>
      </w:r>
      <w:r>
        <w:rPr>
          <w:b w:val="0"/>
          <w:i w:val="0"/>
        </w:rPr>
        <w:t>65</w:t>
      </w:r>
      <w:r>
        <w:rPr>
          <w:b w:val="0"/>
          <w:i w:val="0"/>
        </w:rPr>
        <w:t xml:space="preserve"> </w:t>
      </w:r>
      <w:r>
        <w:rPr>
          <w:b w:val="0"/>
          <w:i w:val="0"/>
        </w:rPr>
        <w:t xml:space="preserve"> have no completed quantitative benchmark; </w:t>
      </w:r>
      <w:r>
        <w:rPr>
          <w:b w:val="0"/>
          <w:i w:val="0"/>
        </w:rPr>
        <w:t xml:space="preserve"> </w:t>
      </w:r>
      <w:r>
        <w:rPr>
          <w:b w:val="0"/>
          <w:i w:val="0"/>
        </w:rPr>
        <w:t>0</w:t>
      </w:r>
      <w:r>
        <w:rPr>
          <w:b w:val="0"/>
          <w:i w:val="0"/>
        </w:rPr>
        <w:t xml:space="preserve"> </w:t>
      </w:r>
      <w:r>
        <w:rPr>
          <w:b w:val="0"/>
          <w:i w:val="0"/>
        </w:rPr>
        <w:t xml:space="preserve"> failed execution.</w:t>
      </w:r>
    </w:p>
    <w:p>
      <w:pPr/>
      <w:r>
        <w:rPr>
          <w:b w:val="0"/>
          <w:i w:val="0"/>
        </w:rPr>
        <w:t>No exercise has experimental validation from this study. A successful run, supplier property or similar-looking plot is not validation. Badges apply only to the listed outputs, recorded inputs and solver revision. Edited inputs and new solver revisions require revalidation.</w:t>
      </w:r>
    </w:p>
    <w:p>
      <w:pPr>
        <w:pStyle w:val="Heading3"/>
      </w:pPr>
      <w:r>
        <w:t>Case combination regression checks</w:t>
      </w:r>
    </w:p>
    <w:p>
      <w:pPr/>
      <w:r>
        <w:rPr>
          <w:b w:val="0"/>
          <w:i w:val="0"/>
        </w:rPr>
        <w:t>On 18 September 2026, 52,416 discrete catalog case-selector combinations, including None, were checked against selection compatibility rules: 406 were accepted and 52,010 rejected. These are selection checks, not numerical solutions of every combination. All seven nonempty thermal, moisture and mechanical subsets of the T700 starter executed successfully. Geometry dependency, model-pairing and stale-result checks also passed. This does not validate every material, geometry, load magnitude or coupled physical response.</w:t>
      </w:r>
    </w:p>
    <w:p>
      <w:pPr>
        <w:pStyle w:val="Heading3"/>
      </w:pPr>
      <w:r>
        <w:t>Method and acceptance</w:t>
      </w:r>
    </w:p>
    <w:p>
      <w:pPr/>
      <w:r>
        <w:rPr>
          <w:b w:val="0"/>
          <w:i w:val="0"/>
        </w:rPr>
        <w:t>Production solver executed on immutable copies of every exercise. Independent published-equation references use exact baseline inputs where eligible. Scoped analytical badges are not experimental validation, strength approval or validation of edited inputs. Full coupled studies remain unvalidated until matched external evidence and convergence studies exist. Tolerances were declared before numerical comparisons: analytical constants 0.01% + 0.00002 units; beam/strain 0.05% + absolute allowance; rounded NASA table values 1% + 0.00002.</w:t>
      </w:r>
    </w:p>
    <w:p>
      <w:pPr/>
      <w:r>
        <w:rPr>
          <w:b w:val="0"/>
          <w:i w:val="0"/>
        </w:rPr>
        <w:t>Each evidence panel states its quantities, predeclared tolerances and sources. Independent laminate references use strain/stress coordinate transformations and thickness integration, not production stiffness helpers. Separate NASA fixtures use the report's numerical inputs; they do not confer validation on the unmatched exercise starter.</w:t>
      </w:r>
    </w:p>
    <w:p>
      <w:pPr>
        <w:pStyle w:val="Heading3"/>
      </w:pPr>
      <w:r>
        <w:t>Findings and outstanding work</w:t>
      </w:r>
    </w:p>
    <w:p>
      <w:pPr>
        <w:pStyle w:val="ListBullet"/>
      </w:pPr>
      <w:r>
        <w:rPr>
          <w:b w:val="0"/>
          <w:i w:val="0"/>
        </w:rPr>
        <w:t>The recorded thin-wall pressure cases pass scoped equilibrium and orthotropic biaxial strain comparisons, including Poisson coupling. This is not a blanket validation of every pressure-vessel exercise or of unverified micromechanics inputs; use each evidence panel for its tested scope.</w:t>
      </w:r>
    </w:p>
    <w:p>
      <w:pPr>
        <w:pStyle w:val="ListBullet"/>
      </w:pPr>
      <w:r>
        <w:rPr>
          <w:b w:val="0"/>
          <w:i w:val="0"/>
        </w:rPr>
        <w:t>The NASA tube fixture matches three published calculated stiffness properties within 1%. This is not an experimental strength or failure validation.</w:t>
      </w:r>
    </w:p>
    <w:p>
      <w:pPr>
        <w:pStyle w:val="ListBullet"/>
      </w:pPr>
      <w:r>
        <w:rPr>
          <w:b w:val="0"/>
          <w:i w:val="0"/>
        </w:rPr>
        <w:t>NASA MAC/GMC micro-property comparisons do not all match the CDS ROM/Halpin–Tsai models. Different model formulations and their discrepancies are retained, not hidden.</w:t>
      </w:r>
    </w:p>
    <w:p>
      <w:pPr>
        <w:pStyle w:val="ListBullet"/>
      </w:pPr>
      <w:r>
        <w:rPr>
          <w:b w:val="0"/>
          <w:i w:val="0"/>
        </w:rPr>
        <w:t>Coupled cure, UV, pultrusion, moisture, sandwich/bonding and progressive delamination require matched constitutive data, boundary conditions, field measurements and convergence studies before a full coupled validation claim.</w:t>
      </w:r>
    </w:p>
    <w:p>
      <w:pPr/>
      <w:hyperlink r:id="rId77">
        <w:r>
          <w:rPr>
            <w:color w:val="176EA4"/>
          </w:rPr>
          <w:t>Download complete reproducible comparison evidence (JSON)</w:t>
        </w:r>
      </w:hyperlink>
      <w:r>
        <w:t xml:space="preserve"> </w:t>
      </w:r>
      <w:r>
        <w:rPr>
          <w:b w:val="0"/>
          <w:i w:val="0"/>
        </w:rPr>
        <w:t xml:space="preserve"> · </w:t>
      </w:r>
      <w:hyperlink r:id="rId16">
        <w:r>
          <w:rPr>
            <w:color w:val="176EA4"/>
          </w:rPr>
          <w:t>Search exercise tree</w:t>
        </w:r>
      </w:hyperlink>
      <w:r>
        <w:t xml:space="preserve"> </w:t>
      </w:r>
    </w:p>
    <w:p>
      <w:pPr>
        <w:keepNext/>
      </w:pPr>
      <w:r>
        <w:rPr>
          <w:b/>
          <w:i w:val="0"/>
        </w:rPr>
        <w:t>Hybrid short fibers: orientation and volume balance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Prescribed orientation, common filament dimensions and resin. Voigt stiffness averaging; not a manufacturing orientation prediction or progressive failure model. Thermal transport retains aligned closure assumptions.</w:t>
      </w:r>
    </w:p>
    <w:p>
      <w:pPr/>
      <w:hyperlink r:id="rId78">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Short fibers: aspect ratio and shear-lag transfer</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Aligned monodisperse elastic fibers, perfect interface and concentric-cell shear lag. Halpin–Tsai transverse/shear screening closure. Existing constituent data are reused; the short-fiber composite and its strength allowables are a hypothetical teaching system.</w:t>
      </w:r>
    </w:p>
    <w:p>
      <w:pPr/>
      <w:hyperlink r:id="rId79">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Rule of mixtures: fibre volume fraction</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1.71373e-06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1.71373e-06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-2.84568e-06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0.31789</w:t>
            </w:r>
          </w:p>
        </w:tc>
        <w:tc>
          <w:tcPr>
            <w:tcW w:type="dxa" w:w="1632"/>
            <w:vAlign w:val="center"/>
            <w:shd w:fill="FFFFFF"/>
          </w:tcPr>
          <w:p>
            <w:pPr>
              <w:spacing w:after="100" w:before="100"/>
            </w:pPr>
            <w:r>
              <w:rPr>
                <w:b w:val="0"/>
                <w:i w:val="0"/>
                <w:sz w:val="18"/>
              </w:rPr>
              <w:t>0.317886</w:t>
            </w:r>
          </w:p>
        </w:tc>
        <w:tc>
          <w:tcPr>
            <w:tcW w:type="dxa" w:w="1632"/>
            <w:vAlign w:val="center"/>
            <w:shd w:fill="FFFFFF"/>
          </w:tcPr>
          <w:p>
            <w:pPr>
              <w:spacing w:after="100" w:before="100"/>
            </w:pPr>
            <w:r>
              <w:rPr>
                <w:b w:val="0"/>
                <w:i w:val="0"/>
                <w:sz w:val="18"/>
              </w:rPr>
              <w:t>0.00126045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E1</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6.41264</w:t>
            </w:r>
          </w:p>
        </w:tc>
        <w:tc>
          <w:tcPr>
            <w:tcW w:type="dxa" w:w="1632"/>
            <w:vAlign w:val="center"/>
            <w:shd w:fill="FFFFFF"/>
          </w:tcPr>
          <w:p>
            <w:pPr>
              <w:spacing w:after="100" w:before="100"/>
            </w:pPr>
            <w:r>
              <w:rPr>
                <w:b w:val="0"/>
                <w:i w:val="0"/>
                <w:sz w:val="18"/>
              </w:rPr>
              <w:t>6.412639</w:t>
            </w:r>
          </w:p>
        </w:tc>
        <w:tc>
          <w:tcPr>
            <w:tcW w:type="dxa" w:w="1632"/>
            <w:vAlign w:val="center"/>
            <w:shd w:fill="FFFFFF"/>
          </w:tcPr>
          <w:p>
            <w:pPr>
              <w:spacing w:after="100" w:before="100"/>
            </w:pPr>
            <w:r>
              <w:rPr>
                <w:b w:val="0"/>
                <w:i w:val="0"/>
                <w:sz w:val="18"/>
              </w:rPr>
              <w:t>9.27536e-06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G12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2.98755</w:t>
            </w:r>
          </w:p>
        </w:tc>
        <w:tc>
          <w:tcPr>
            <w:tcW w:type="dxa" w:w="1632"/>
            <w:vAlign w:val="center"/>
            <w:shd w:fill="FFFFFF"/>
          </w:tcPr>
          <w:p>
            <w:pPr>
              <w:spacing w:after="100" w:before="100"/>
            </w:pPr>
            <w:r>
              <w:rPr>
                <w:b w:val="0"/>
                <w:i w:val="0"/>
                <w:sz w:val="18"/>
              </w:rPr>
              <w:t>2.987552</w:t>
            </w:r>
          </w:p>
        </w:tc>
        <w:tc>
          <w:tcPr>
            <w:tcW w:type="dxa" w:w="1632"/>
            <w:vAlign w:val="center"/>
            <w:shd w:fill="FFFFFF"/>
          </w:tcPr>
          <w:p>
            <w:pPr>
              <w:spacing w:after="100" w:before="100"/>
            </w:pPr>
            <w:r>
              <w:rPr>
                <w:b w:val="0"/>
                <w:i w:val="0"/>
                <w:sz w:val="18"/>
              </w:rPr>
              <w:t>-0.0000625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ν12</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81">
        <w:r>
          <w:rPr>
            <w:color w:val="176EA4"/>
          </w:rPr>
          <w:t>MIT / David Roylance — Introduction to Composites </w:t>
        </w:r>
      </w:hyperlink>
      <w:r>
        <w:t xml:space="preserve"> </w:t>
      </w:r>
      <w:r>
        <w:rPr>
          <w:b w:val="0"/>
          <w:i w:val="0"/>
        </w:rPr>
        <w:t>Equations 1–3, printed pages 3–4</w:t>
      </w:r>
      <w:r>
        <w:rPr>
          <w:b w:val="0"/>
          <w:i w:val="0"/>
        </w:rPr>
        <w:t xml:space="preserve"> </w:t>
      </w:r>
      <w:r>
        <w:rPr>
          <w:b w:val="0"/>
          <w:i w:val="0"/>
        </w:rPr>
        <w:t xml:space="preserve">. </w:t>
      </w:r>
      <w:r>
        <w:rPr>
          <w:b w:val="0"/>
          <w:i w:val="0"/>
        </w:rPr>
        <w:t xml:space="preserve"> </w:t>
      </w:r>
      <w:r>
        <w:rPr>
          <w:b w:val="0"/>
          <w:i w:val="0"/>
        </w:rPr>
        <w:t>Published analytical equations; not experimental material validation.</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Ideal continuous, aligned reinforcement with zero voids. This is a teaching comparison, not a measured material allowable.</w:t>
      </w:r>
    </w:p>
    <w:p>
      <w:pPr/>
      <w:hyperlink r:id="rId82">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Compare transverse micromechanics models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Nonzero-void closure has no matched published calibration in this study</w:t>
      </w:r>
    </w:p>
    <w:p>
      <w:pPr>
        <w:pStyle w:val="Heading3"/>
      </w:pPr>
      <w:r>
        <w:t>Tested inputs</w:t>
      </w:r>
    </w:p>
    <w:p>
      <w:pPr>
        <w:pStyle w:val="ListBullet"/>
      </w:pPr>
      <w:r>
        <w:rPr>
          <w:b w:val="0"/>
          <w:i w:val="0"/>
        </w:rPr>
        <w:t>Use the editable model inputs and their documented assumptions; matching a trend does not validate a strength prediction.</w:t>
      </w:r>
    </w:p>
    <w:p>
      <w:pPr/>
      <w:hyperlink r:id="rId83">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Laminate orientation and tensile response</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ASTM-based teaching geometry, not certification. Grips, tabs, alignment and physical test validity are not simulated.</w:t>
      </w:r>
    </w:p>
    <w:p>
      <w:pPr/>
      <w:hyperlink r:id="rId84">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±45° coupon: in-plane shear</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2.7757e-05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2.7757e-05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34.82813</w:t>
            </w:r>
          </w:p>
        </w:tc>
        <w:tc>
          <w:tcPr>
            <w:tcW w:type="dxa" w:w="1632"/>
            <w:vAlign w:val="center"/>
            <w:shd w:fill="FFFFFF"/>
          </w:tcPr>
          <w:p>
            <w:pPr>
              <w:spacing w:after="100" w:before="100"/>
            </w:pPr>
            <w:r>
              <w:rPr>
                <w:b w:val="0"/>
                <w:i w:val="0"/>
                <w:sz w:val="18"/>
              </w:rPr>
              <w:t>34.82813</w:t>
            </w:r>
          </w:p>
        </w:tc>
        <w:tc>
          <w:tcPr>
            <w:tcW w:type="dxa" w:w="1632"/>
            <w:vAlign w:val="center"/>
            <w:shd w:fill="FFFFFF"/>
          </w:tcPr>
          <w:p>
            <w:pPr>
              <w:spacing w:after="100" w:before="100"/>
            </w:pPr>
            <w:r>
              <w:rPr>
                <w:b w:val="0"/>
                <w:i w:val="0"/>
                <w:sz w:val="18"/>
              </w:rPr>
              <w:t>-6.41391e-06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0.77378</w:t>
            </w:r>
          </w:p>
        </w:tc>
        <w:tc>
          <w:tcPr>
            <w:tcW w:type="dxa" w:w="1632"/>
            <w:vAlign w:val="center"/>
            <w:shd w:fill="FFFFFF"/>
          </w:tcPr>
          <w:p>
            <w:pPr>
              <w:spacing w:after="100" w:before="100"/>
            </w:pPr>
            <w:r>
              <w:rPr>
                <w:b w:val="0"/>
                <w:i w:val="0"/>
                <w:sz w:val="18"/>
              </w:rPr>
              <w:t>0.7737776</w:t>
            </w:r>
          </w:p>
        </w:tc>
        <w:tc>
          <w:tcPr>
            <w:tcW w:type="dxa" w:w="1632"/>
            <w:vAlign w:val="center"/>
            <w:shd w:fill="FFFFFF"/>
          </w:tcPr>
          <w:p>
            <w:pPr>
              <w:spacing w:after="100" w:before="100"/>
            </w:pPr>
            <w:r>
              <w:rPr>
                <w:b w:val="0"/>
                <w:i w:val="0"/>
                <w:sz w:val="18"/>
              </w:rPr>
              <w:t>0.000305947</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Small-strain elastic teaching model; fibre rotation and nonlinear termination rules are not represented.</w:t>
      </w:r>
    </w:p>
    <w:p>
      <w:pPr/>
      <w:hyperlink r:id="rId85">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Three-point bending: span and stiffness</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Central-load beam deflection and shear, conditional on the reported effective Ex. Material elasticity, ply stress and failure not validated.</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Maximum deflection</w:t>
            </w:r>
            <w:r>
              <w:rPr>
                <w:b w:val="0"/>
                <w:i w:val="0"/>
                <w:sz w:val="18"/>
              </w:rPr>
              <w:t xml:space="preserve"> </w:t>
            </w:r>
            <w:r>
              <w:rPr>
                <w:b w:val="0"/>
                <w:i w:val="0"/>
                <w:sz w:val="18"/>
              </w:rPr>
              <w:t xml:space="preserve"> (</w:t>
            </w:r>
            <w:r>
              <w:rPr>
                <w:b w:val="0"/>
                <w:i w:val="0"/>
                <w:sz w:val="18"/>
              </w:rPr>
              <w:t xml:space="preserve"> </w:t>
            </w:r>
            <w:r>
              <w:rPr>
                <w:b w:val="0"/>
                <w:i w:val="0"/>
                <w:sz w:val="18"/>
              </w:rPr>
              <w:t>mm</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1.213667</w:t>
            </w:r>
          </w:p>
        </w:tc>
        <w:tc>
          <w:tcPr>
            <w:tcW w:type="dxa" w:w="1632"/>
            <w:vAlign w:val="center"/>
            <w:shd w:fill="FFFFFF"/>
          </w:tcPr>
          <w:p>
            <w:pPr>
              <w:spacing w:after="100" w:before="100"/>
            </w:pPr>
            <w:r>
              <w:rPr>
                <w:b w:val="0"/>
                <w:i w:val="0"/>
                <w:sz w:val="18"/>
              </w:rPr>
              <w:t>1.213667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0.05</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mm</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Maximum shear</w:t>
            </w:r>
            <w:r>
              <w:rPr>
                <w:b w:val="0"/>
                <w:i w:val="0"/>
                <w:sz w:val="18"/>
              </w:rPr>
              <w:t xml:space="preserve"> </w:t>
            </w:r>
            <w:r>
              <w:rPr>
                <w:b w:val="0"/>
                <w:i w:val="0"/>
                <w:sz w:val="18"/>
              </w:rPr>
              <w:t xml:space="preserve"> (</w:t>
            </w:r>
            <w:r>
              <w:rPr>
                <w:b w:val="0"/>
                <w:i w:val="0"/>
                <w:sz w:val="18"/>
              </w:rPr>
              <w:t xml:space="preserve"> </w:t>
            </w:r>
            <w:r>
              <w:rPr>
                <w:b w:val="0"/>
                <w:i w:val="0"/>
                <w:sz w:val="18"/>
              </w:rPr>
              <w:t>N</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50</w:t>
            </w:r>
          </w:p>
        </w:tc>
        <w:tc>
          <w:tcPr>
            <w:tcW w:type="dxa" w:w="1632"/>
            <w:vAlign w:val="center"/>
            <w:shd w:fill="FFFFFF"/>
          </w:tcPr>
          <w:p>
            <w:pPr>
              <w:spacing w:after="100" w:before="100"/>
            </w:pPr>
            <w:r>
              <w:rPr>
                <w:b w:val="0"/>
                <w:i w:val="0"/>
                <w:sz w:val="18"/>
              </w:rPr>
              <w:t>50</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N</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86">
        <w:r>
          <w:rPr>
            <w:color w:val="176EA4"/>
          </w:rPr>
          <w:t>MIT / David Roylance — Beam Displacements </w:t>
        </w:r>
      </w:hyperlink>
      <w:r>
        <w:t xml:space="preserve"> </w:t>
      </w:r>
      <w:r>
        <w:rPr>
          <w:b w:val="0"/>
          <w:i w:val="0"/>
        </w:rPr>
        <w:t>Equation 7, printed page 3: central-load simply supported beam</w:t>
      </w:r>
      <w:r>
        <w:rPr>
          <w:b w:val="0"/>
          <w:i w:val="0"/>
        </w:rPr>
        <w:t xml:space="preserve"> </w:t>
      </w:r>
      <w:r>
        <w:rPr>
          <w:b w:val="0"/>
          <w:i w:val="0"/>
        </w:rPr>
        <w:t xml:space="preserve">. </w:t>
      </w:r>
      <w:r>
        <w:rPr>
          <w:b w:val="0"/>
          <w:i w:val="0"/>
        </w:rPr>
        <w:t xml:space="preserve"> </w:t>
      </w:r>
      <w:r>
        <w:rPr>
          <w:b w:val="0"/>
          <w:i w:val="0"/>
        </w:rPr>
        <w:t>Euler–Bernoulli analytical check; excludes shear, contact, damage and empirical stiffness validation.</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keepNext/>
      </w:pPr>
      <w:r>
        <w:rPr>
          <w:b/>
          <w:i w:val="0"/>
        </w:rPr>
        <w:t>Beam benchmark inputs</w:t>
      </w:r>
    </w:p>
    <w:p>
      <w:r>
        <w:t>Exact numerical inputs are retained in the linked validation evidence.</w:t>
      </w:r>
    </w:p>
    <w:p>
      <w:pPr>
        <w:pStyle w:val="ListBullet"/>
      </w:pPr>
      <w:r>
        <w:rPr>
          <w:b w:val="0"/>
          <w:i w:val="0"/>
        </w:rPr>
        <w:t>Procedure A teaching setup. Transverse shear deformation, roller contact and indentation are excluded.</w:t>
      </w:r>
    </w:p>
    <w:p>
      <w:pPr/>
      <w:hyperlink r:id="rId87">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Thin-wall pressure vessel</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Thin-wall pressure equilibrium and orthotropic biaxial strain comparison; stiffness inputs are conditional where Micro closure has not been verified.</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Nonzero-void closure has no matched published calibration in this study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Hoop stress</w:t>
            </w:r>
            <w:r>
              <w:rPr>
                <w:b w:val="0"/>
                <w:i w:val="0"/>
                <w:sz w:val="18"/>
              </w:rPr>
              <w:t xml:space="preserve"> </w:t>
            </w:r>
            <w:r>
              <w:rPr>
                <w:b w:val="0"/>
                <w:i w:val="0"/>
                <w:sz w:val="18"/>
              </w:rPr>
              <w:t xml:space="preserve"> (</w:t>
            </w:r>
            <w:r>
              <w:rPr>
                <w:b w:val="0"/>
                <w:i w:val="0"/>
                <w:sz w:val="18"/>
              </w:rPr>
              <w:t xml:space="preserve"> </w:t>
            </w:r>
            <w:r>
              <w:rPr>
                <w:b w:val="0"/>
                <w:i w:val="0"/>
                <w:sz w:val="18"/>
              </w:rPr>
              <w:t>MPa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56.4</w:t>
            </w:r>
          </w:p>
        </w:tc>
        <w:tc>
          <w:tcPr>
            <w:tcW w:type="dxa" w:w="1632"/>
            <w:vAlign w:val="center"/>
            <w:shd w:fill="FFFFFF"/>
          </w:tcPr>
          <w:p>
            <w:pPr>
              <w:spacing w:after="100" w:before="100"/>
            </w:pPr>
            <w:r>
              <w:rPr>
                <w:b w:val="0"/>
                <w:i w:val="0"/>
                <w:sz w:val="18"/>
              </w:rPr>
              <w:t>56.4</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MPa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Axial stress</w:t>
            </w:r>
            <w:r>
              <w:rPr>
                <w:b w:val="0"/>
                <w:i w:val="0"/>
                <w:sz w:val="18"/>
              </w:rPr>
              <w:t xml:space="preserve"> </w:t>
            </w:r>
            <w:r>
              <w:rPr>
                <w:b w:val="0"/>
                <w:i w:val="0"/>
                <w:sz w:val="18"/>
              </w:rPr>
              <w:t xml:space="preserve"> (</w:t>
            </w:r>
            <w:r>
              <w:rPr>
                <w:b w:val="0"/>
                <w:i w:val="0"/>
                <w:sz w:val="18"/>
              </w:rPr>
              <w:t xml:space="preserve"> </w:t>
            </w:r>
            <w:r>
              <w:rPr>
                <w:b w:val="0"/>
                <w:i w:val="0"/>
                <w:sz w:val="18"/>
              </w:rPr>
              <w:t>MPa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28.2</w:t>
            </w:r>
          </w:p>
        </w:tc>
        <w:tc>
          <w:tcPr>
            <w:tcW w:type="dxa" w:w="1632"/>
            <w:vAlign w:val="center"/>
            <w:shd w:fill="FFFFFF"/>
          </w:tcPr>
          <w:p>
            <w:pPr>
              <w:spacing w:after="100" w:before="100"/>
            </w:pPr>
            <w:r>
              <w:rPr>
                <w:b w:val="0"/>
                <w:i w:val="0"/>
                <w:sz w:val="18"/>
              </w:rPr>
              <w:t>28.2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MPa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Hoop strain including Poisson coupling</w:t>
            </w:r>
            <w:r>
              <w:rPr>
                <w:b w:val="0"/>
                <w:i w:val="0"/>
                <w:sz w:val="18"/>
              </w:rPr>
              <w:t xml:space="preserve"> </w:t>
            </w:r>
            <w:r>
              <w:rPr>
                <w:b w:val="0"/>
                <w:i w:val="0"/>
                <w:sz w:val="18"/>
              </w:rPr>
              <w:t xml:space="preserve"> (</w:t>
            </w:r>
            <w:r>
              <w:rPr>
                <w:b w:val="0"/>
                <w:i w:val="0"/>
                <w:sz w:val="18"/>
              </w:rPr>
              <w:t xml:space="preserve"> </w:t>
            </w:r>
            <w:r>
              <w:rPr>
                <w:b w:val="0"/>
                <w:i w:val="0"/>
                <w:sz w:val="18"/>
              </w:rPr>
              <w:t>µε</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755.3712</w:t>
            </w:r>
          </w:p>
        </w:tc>
        <w:tc>
          <w:tcPr>
            <w:tcW w:type="dxa" w:w="1632"/>
            <w:vAlign w:val="center"/>
            <w:shd w:fill="FFFFFF"/>
          </w:tcPr>
          <w:p>
            <w:pPr>
              <w:spacing w:after="100" w:before="100"/>
            </w:pPr>
            <w:r>
              <w:rPr>
                <w:b w:val="0"/>
                <w:i w:val="0"/>
                <w:sz w:val="18"/>
              </w:rPr>
              <w:t>755.3698</w:t>
            </w:r>
          </w:p>
        </w:tc>
        <w:tc>
          <w:tcPr>
            <w:tcW w:type="dxa" w:w="1632"/>
            <w:vAlign w:val="center"/>
            <w:shd w:fill="FFFFFF"/>
          </w:tcPr>
          <w:p>
            <w:pPr>
              <w:spacing w:after="100" w:before="100"/>
            </w:pPr>
            <w:r>
              <w:rPr>
                <w:b w:val="0"/>
                <w:i w:val="0"/>
                <w:sz w:val="18"/>
              </w:rPr>
              <w:t>0.000182403</w:t>
            </w:r>
          </w:p>
        </w:tc>
        <w:tc>
          <w:tcPr>
            <w:tcW w:type="dxa" w:w="1632"/>
            <w:vAlign w:val="center"/>
            <w:shd w:fill="FFFFFF"/>
          </w:tcPr>
          <w:p>
            <w:pPr>
              <w:spacing w:after="100" w:before="100"/>
            </w:pPr>
            <w:r>
              <w:rPr>
                <w:b w:val="0"/>
                <w:i w:val="0"/>
                <w:sz w:val="18"/>
              </w:rPr>
              <w:t>0.05</w:t>
            </w:r>
            <w:r>
              <w:rPr>
                <w:b w:val="0"/>
                <w:i w:val="0"/>
                <w:sz w:val="18"/>
              </w:rPr>
              <w:t xml:space="preserve"> </w:t>
            </w:r>
            <w:r>
              <w:rPr>
                <w:b w:val="0"/>
                <w:i w:val="0"/>
                <w:sz w:val="18"/>
              </w:rPr>
              <w:t xml:space="preserve">% + </w:t>
            </w:r>
            <w:r>
              <w:rPr>
                <w:b w:val="0"/>
                <w:i w:val="0"/>
                <w:sz w:val="18"/>
              </w:rPr>
              <w:t xml:space="preserve"> </w:t>
            </w:r>
            <w:r>
              <w:rPr>
                <w:b w:val="0"/>
                <w:i w:val="0"/>
                <w:sz w:val="18"/>
              </w:rPr>
              <w:t>0.01</w:t>
            </w:r>
            <w:r>
              <w:rPr>
                <w:b w:val="0"/>
                <w:i w:val="0"/>
                <w:sz w:val="18"/>
              </w:rPr>
              <w:t xml:space="preserve"> </w:t>
            </w:r>
            <w:r>
              <w:rPr>
                <w:b w:val="0"/>
                <w:i w:val="0"/>
                <w:sz w:val="18"/>
              </w:rPr>
              <w:t xml:space="preserve"> </w:t>
            </w:r>
            <w:r>
              <w:rPr>
                <w:b w:val="0"/>
                <w:i w:val="0"/>
                <w:sz w:val="18"/>
              </w:rPr>
              <w:t xml:space="preserve"> </w:t>
            </w:r>
            <w:r>
              <w:rPr>
                <w:b w:val="0"/>
                <w:i w:val="0"/>
                <w:sz w:val="18"/>
              </w:rPr>
              <w:t>µε</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Axial strain including Poisson coupling</w:t>
            </w:r>
            <w:r>
              <w:rPr>
                <w:b w:val="0"/>
                <w:i w:val="0"/>
                <w:sz w:val="18"/>
              </w:rPr>
              <w:t xml:space="preserve"> </w:t>
            </w:r>
            <w:r>
              <w:rPr>
                <w:b w:val="0"/>
                <w:i w:val="0"/>
                <w:sz w:val="18"/>
              </w:rPr>
              <w:t xml:space="preserve"> (</w:t>
            </w:r>
            <w:r>
              <w:rPr>
                <w:b w:val="0"/>
                <w:i w:val="0"/>
                <w:sz w:val="18"/>
              </w:rPr>
              <w:t xml:space="preserve"> </w:t>
            </w:r>
            <w:r>
              <w:rPr>
                <w:b w:val="0"/>
                <w:i w:val="0"/>
                <w:sz w:val="18"/>
              </w:rPr>
              <w:t>µε</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246.3161</w:t>
            </w:r>
          </w:p>
        </w:tc>
        <w:tc>
          <w:tcPr>
            <w:tcW w:type="dxa" w:w="1632"/>
            <w:vAlign w:val="center"/>
            <w:shd w:fill="FFFFFF"/>
          </w:tcPr>
          <w:p>
            <w:pPr>
              <w:spacing w:after="100" w:before="100"/>
            </w:pPr>
            <w:r>
              <w:rPr>
                <w:b w:val="0"/>
                <w:i w:val="0"/>
                <w:sz w:val="18"/>
              </w:rPr>
              <w:t>246.3132</w:t>
            </w:r>
          </w:p>
        </w:tc>
        <w:tc>
          <w:tcPr>
            <w:tcW w:type="dxa" w:w="1632"/>
            <w:vAlign w:val="center"/>
            <w:shd w:fill="FFFFFF"/>
          </w:tcPr>
          <w:p>
            <w:pPr>
              <w:spacing w:after="100" w:before="100"/>
            </w:pPr>
            <w:r>
              <w:rPr>
                <w:b w:val="0"/>
                <w:i w:val="0"/>
                <w:sz w:val="18"/>
              </w:rPr>
              <w:t>0.00114902</w:t>
            </w:r>
          </w:p>
        </w:tc>
        <w:tc>
          <w:tcPr>
            <w:tcW w:type="dxa" w:w="1632"/>
            <w:vAlign w:val="center"/>
            <w:shd w:fill="FFFFFF"/>
          </w:tcPr>
          <w:p>
            <w:pPr>
              <w:spacing w:after="100" w:before="100"/>
            </w:pPr>
            <w:r>
              <w:rPr>
                <w:b w:val="0"/>
                <w:i w:val="0"/>
                <w:sz w:val="18"/>
              </w:rPr>
              <w:t>0.05</w:t>
            </w:r>
            <w:r>
              <w:rPr>
                <w:b w:val="0"/>
                <w:i w:val="0"/>
                <w:sz w:val="18"/>
              </w:rPr>
              <w:t xml:space="preserve"> </w:t>
            </w:r>
            <w:r>
              <w:rPr>
                <w:b w:val="0"/>
                <w:i w:val="0"/>
                <w:sz w:val="18"/>
              </w:rPr>
              <w:t xml:space="preserve">% + </w:t>
            </w:r>
            <w:r>
              <w:rPr>
                <w:b w:val="0"/>
                <w:i w:val="0"/>
                <w:sz w:val="18"/>
              </w:rPr>
              <w:t xml:space="preserve"> </w:t>
            </w:r>
            <w:r>
              <w:rPr>
                <w:b w:val="0"/>
                <w:i w:val="0"/>
                <w:sz w:val="18"/>
              </w:rPr>
              <w:t>0.01</w:t>
            </w:r>
            <w:r>
              <w:rPr>
                <w:b w:val="0"/>
                <w:i w:val="0"/>
                <w:sz w:val="18"/>
              </w:rPr>
              <w:t xml:space="preserve"> </w:t>
            </w:r>
            <w:r>
              <w:rPr>
                <w:b w:val="0"/>
                <w:i w:val="0"/>
                <w:sz w:val="18"/>
              </w:rPr>
              <w:t xml:space="preserve"> </w:t>
            </w:r>
            <w:r>
              <w:rPr>
                <w:b w:val="0"/>
                <w:i w:val="0"/>
                <w:sz w:val="18"/>
              </w:rPr>
              <w:t xml:space="preserve"> </w:t>
            </w:r>
            <w:r>
              <w:rPr>
                <w:b w:val="0"/>
                <w:i w:val="0"/>
                <w:sz w:val="18"/>
              </w:rPr>
              <w:t>µε</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8">
        <w:r>
          <w:rPr>
            <w:color w:val="176EA4"/>
          </w:rPr>
          <w:t>MIT / David Roylance — Pressure Vessels </w:t>
        </w:r>
      </w:hyperlink>
      <w:r>
        <w:t xml:space="preserve"> </w:t>
      </w:r>
      <w:r>
        <w:rPr>
          <w:b w:val="0"/>
          <w:i w:val="0"/>
        </w:rPr>
        <w:t>Equations 2–3, printed page 3; orthotropic strain compliance from laminated plates reference</w:t>
      </w:r>
      <w:r>
        <w:rPr>
          <w:b w:val="0"/>
          <w:i w:val="0"/>
        </w:rPr>
        <w:t xml:space="preserve"> </w:t>
      </w:r>
      <w:r>
        <w:rPr>
          <w:b w:val="0"/>
          <w:i w:val="0"/>
        </w:rPr>
        <w:t xml:space="preserve">. </w:t>
      </w:r>
      <w:r>
        <w:rPr>
          <w:b w:val="0"/>
          <w:i w:val="0"/>
        </w:rPr>
        <w:t xml:space="preserve"> </w:t>
      </w:r>
      <w:r>
        <w:rPr>
          <w:b w:val="0"/>
          <w:i w:val="0"/>
        </w:rPr>
        <w:t>Thin-wall, closed-end pristine cylinder. No slit, fracture or failure-pressure validation.</w:t>
      </w:r>
      <w:r>
        <w:t xml:space="preserve"> </w:t>
      </w: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Pressure reference inputs</w:t>
      </w:r>
    </w:p>
    <w:p>
      <w:r>
        <w:t>Exact numerical inputs are retained in the linked validation evidence.</w:t>
      </w:r>
    </w:p>
    <w:p>
      <w:pPr>
        <w:pStyle w:val="ListBullet"/>
      </w:pPr>
      <w:r>
        <w:rPr>
          <w:b w:val="0"/>
          <w:i w:val="0"/>
        </w:rPr>
        <w:t>Thin-wall membrane theory: no through-wall radial stress profile or local end effects.</w:t>
      </w:r>
    </w:p>
    <w:p>
      <w:pPr/>
      <w:hyperlink r:id="rId89">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Thermal cycle: surface-to-core lag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One-dimensional through-thickness transport; lateral heat loss and oven airflow are not resolved. Inspect linked cure settings before interpreting reaction heating.</w:t>
      </w:r>
    </w:p>
    <w:p>
      <w:pPr/>
      <w:hyperlink r:id="rId90">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Moisture conditioning and diffusion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One-dimensional Fickian transport with the selected constitutive inputs, not a prediction of chemical degradation.</w:t>
      </w:r>
    </w:p>
    <w:p>
      <w:pPr/>
      <w:hyperlink r:id="rId91">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Bonded joint: two adherends and adhesive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Perfectly bonded linear-elastic interfaces. Mesh-sensitive edge peaks are not joint strength, debonding or damage predictions.</w:t>
      </w:r>
    </w:p>
    <w:p>
      <w:pPr/>
      <w:hyperlink r:id="rId92">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Coupled cure, thermal, moisture and structural response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Use the solver’s reported coupling state and limits. Do not assume this constitutes a general 3D coupled finite-element model or a calibrated cure-residual-stress prediction.</w:t>
      </w:r>
    </w:p>
    <w:p>
      <w:pPr/>
      <w:hyperlink r:id="rId93">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NASA · T700/PR520 lamina analysis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The copied T700/EP180 database is a connected starter, not T700/PR520. Complete the constituent setup below before comparing with NASA.</w:t>
      </w:r>
    </w:p>
    <w:p>
      <w:pPr>
        <w:pStyle w:val="ListBullet"/>
      </w:pPr>
      <w:hyperlink r:id="rId94">
        <w:r>
          <w:rPr>
            <w:color w:val="176EA4"/>
          </w:rPr>
          <w:t>NASA/TM—2015-218814 — Experimental and Numerical Analysis of Triaxially Braided Composites Utilizing a Modified Subcell Modeling Approach </w:t>
        </w:r>
      </w:hyperlink>
      <w:r>
        <w:t xml:space="preserve"> </w:t>
      </w:r>
      <w:r>
        <w:rPr>
          <w:b w:val="0"/>
          <w:i w:val="0"/>
        </w:rPr>
        <w:t>Tables 3–4, printed page 7 / PDF page 11</w:t>
      </w:r>
      <w:r>
        <w:rPr>
          <w:b w:val="0"/>
          <w:i w:val="0"/>
        </w:rPr>
        <w:t xml:space="preserve"> </w:t>
      </w:r>
      <w:r>
        <w:rPr>
          <w:b w:val="0"/>
          <w:i w:val="0"/>
        </w:rPr>
        <w:t xml:space="preserve">. </w:t>
      </w:r>
      <w:r>
        <w:rPr>
          <w:b w:val="0"/>
          <w:i w:val="0"/>
        </w:rPr>
        <w:t xml:space="preserve"> </w:t>
      </w:r>
      <w:r>
        <w:rPr>
          <w:b w:val="0"/>
          <w:i w:val="0"/>
        </w:rPr>
        <w:t>MAC/GMC calculated effective ply data, not measured UD coupon properties.</w:t>
      </w:r>
      <w:r>
        <w:t xml:space="preserve"> </w:t>
      </w:r>
    </w:p>
    <w:p>
      <w:pPr>
        <w:pStyle w:val="Heading3"/>
      </w:pPr>
      <w:r>
        <w:t>Tested inputs</w:t>
      </w:r>
    </w:p>
    <w:p>
      <w:pPr>
        <w:pStyle w:val="ListBullet"/>
      </w:pPr>
      <w:r>
        <w:rPr>
          <w:b w:val="0"/>
          <w:i w:val="0"/>
        </w:rPr>
        <w:t>Constituent-to-lamina screening only. The NASA braid subcells, calibrated LS-DYNA damage and coupon validation are not reproduced.</w:t>
      </w:r>
    </w:p>
    <w:p>
      <w:pPr>
        <w:keepNext/>
      </w:pPr>
      <w:r>
        <w:rPr>
          <w:b/>
          <w:i w:val="0"/>
        </w:rPr>
        <w:t xml:space="preserve">Separate published-data fixture: </w:t>
      </w:r>
      <w:r>
        <w:rPr>
          <w:b/>
          <w:i w:val="0"/>
        </w:rPr>
        <w:t xml:space="preserve"> </w:t>
      </w:r>
      <w:r>
        <w:rPr>
          <w:b/>
          <w:i w:val="0"/>
        </w:rPr>
        <w:t>Benchmark discrepancy</w:t>
      </w:r>
    </w:p>
    <w:p>
      <w:pPr/>
      <w:r>
        <w:rPr>
          <w:b w:val="0"/>
          <w:i w:val="0"/>
        </w:rPr>
        <w:t>Source-matched constituent fixture compared with NASA MAC/GMC, 1% exploratory equivalence criterion declared before running. A different homogenization model need not match; mismatch is retained, not fitted away.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E1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88.75</w:t>
            </w:r>
          </w:p>
        </w:tc>
        <w:tc>
          <w:tcPr>
            <w:tcW w:type="dxa" w:w="1632"/>
            <w:vAlign w:val="center"/>
            <w:shd w:fill="FFFFFF"/>
          </w:tcPr>
          <w:p>
            <w:pPr>
              <w:spacing w:after="100" w:before="100"/>
            </w:pPr>
            <w:r>
              <w:rPr>
                <w:b w:val="0"/>
                <w:i w:val="0"/>
                <w:sz w:val="18"/>
              </w:rPr>
              <w:t>88.5</w:t>
            </w:r>
          </w:p>
        </w:tc>
        <w:tc>
          <w:tcPr>
            <w:tcW w:type="dxa" w:w="1632"/>
            <w:vAlign w:val="center"/>
            <w:shd w:fill="FFFFFF"/>
          </w:tcPr>
          <w:p>
            <w:pPr>
              <w:spacing w:after="100" w:before="100"/>
            </w:pPr>
            <w:r>
              <w:rPr>
                <w:b w:val="0"/>
                <w:i w:val="0"/>
                <w:sz w:val="18"/>
              </w:rPr>
              <w:t>0.2824859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5.51724</w:t>
            </w:r>
          </w:p>
        </w:tc>
        <w:tc>
          <w:tcPr>
            <w:tcW w:type="dxa" w:w="1632"/>
            <w:vAlign w:val="center"/>
            <w:shd w:fill="FFFFFF"/>
          </w:tcPr>
          <w:p>
            <w:pPr>
              <w:spacing w:after="100" w:before="100"/>
            </w:pPr>
            <w:r>
              <w:rPr>
                <w:b w:val="0"/>
                <w:i w:val="0"/>
                <w:sz w:val="18"/>
              </w:rPr>
              <w:t>6.22</w:t>
            </w:r>
          </w:p>
        </w:tc>
        <w:tc>
          <w:tcPr>
            <w:tcW w:type="dxa" w:w="1632"/>
            <w:vAlign w:val="center"/>
            <w:shd w:fill="FFFFFF"/>
          </w:tcPr>
          <w:p>
            <w:pPr>
              <w:spacing w:after="100" w:before="100"/>
            </w:pPr>
            <w:r>
              <w:rPr>
                <w:b w:val="0"/>
                <w:i w:val="0"/>
                <w:sz w:val="18"/>
              </w:rPr>
              <w:t>-11.29839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2.23256</w:t>
            </w:r>
          </w:p>
        </w:tc>
        <w:tc>
          <w:tcPr>
            <w:tcW w:type="dxa" w:w="1632"/>
            <w:vAlign w:val="center"/>
            <w:shd w:fill="FFFFFF"/>
          </w:tcPr>
          <w:p>
            <w:pPr>
              <w:spacing w:after="100" w:before="100"/>
            </w:pPr>
            <w:r>
              <w:rPr>
                <w:b w:val="0"/>
                <w:i w:val="0"/>
                <w:sz w:val="18"/>
              </w:rPr>
              <w:t>2.6</w:t>
            </w:r>
          </w:p>
        </w:tc>
        <w:tc>
          <w:tcPr>
            <w:tcW w:type="dxa" w:w="1632"/>
            <w:vAlign w:val="center"/>
            <w:shd w:fill="FFFFFF"/>
          </w:tcPr>
          <w:p>
            <w:pPr>
              <w:spacing w:after="100" w:before="100"/>
            </w:pPr>
            <w:r>
              <w:rPr>
                <w:b w:val="0"/>
                <w:i w:val="0"/>
                <w:sz w:val="18"/>
              </w:rPr>
              <w:t>-14.13231</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E1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169.658</w:t>
            </w:r>
          </w:p>
        </w:tc>
        <w:tc>
          <w:tcPr>
            <w:tcW w:type="dxa" w:w="1632"/>
            <w:vAlign w:val="center"/>
            <w:shd w:fill="FFFFFF"/>
          </w:tcPr>
          <w:p>
            <w:pPr>
              <w:spacing w:after="100" w:before="100"/>
            </w:pPr>
            <w:r>
              <w:rPr>
                <w:b w:val="0"/>
                <w:i w:val="0"/>
                <w:sz w:val="18"/>
              </w:rPr>
              <w:t>169.5</w:t>
            </w:r>
          </w:p>
        </w:tc>
        <w:tc>
          <w:tcPr>
            <w:tcW w:type="dxa" w:w="1632"/>
            <w:vAlign w:val="center"/>
            <w:shd w:fill="FFFFFF"/>
          </w:tcPr>
          <w:p>
            <w:pPr>
              <w:spacing w:after="100" w:before="100"/>
            </w:pPr>
            <w:r>
              <w:rPr>
                <w:b w:val="0"/>
                <w:i w:val="0"/>
                <w:sz w:val="18"/>
              </w:rPr>
              <w:t>0.09321534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8.64927</w:t>
            </w:r>
          </w:p>
        </w:tc>
        <w:tc>
          <w:tcPr>
            <w:tcW w:type="dxa" w:w="1632"/>
            <w:vAlign w:val="center"/>
            <w:shd w:fill="FFFFFF"/>
          </w:tcPr>
          <w:p>
            <w:pPr>
              <w:spacing w:after="100" w:before="100"/>
            </w:pPr>
            <w:r>
              <w:rPr>
                <w:b w:val="0"/>
                <w:i w:val="0"/>
                <w:sz w:val="18"/>
              </w:rPr>
              <w:t>9.9</w:t>
            </w:r>
          </w:p>
        </w:tc>
        <w:tc>
          <w:tcPr>
            <w:tcW w:type="dxa" w:w="1632"/>
            <w:vAlign w:val="center"/>
            <w:shd w:fill="FFFFFF"/>
          </w:tcPr>
          <w:p>
            <w:pPr>
              <w:spacing w:after="100" w:before="100"/>
            </w:pPr>
            <w:r>
              <w:rPr>
                <w:b w:val="0"/>
                <w:i w:val="0"/>
                <w:sz w:val="18"/>
              </w:rPr>
              <w:t>-12.63364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4.70445</w:t>
            </w:r>
          </w:p>
        </w:tc>
        <w:tc>
          <w:tcPr>
            <w:tcW w:type="dxa" w:w="1632"/>
            <w:vAlign w:val="center"/>
            <w:shd w:fill="FFFFFF"/>
          </w:tcPr>
          <w:p>
            <w:pPr>
              <w:spacing w:after="100" w:before="100"/>
            </w:pPr>
            <w:r>
              <w:rPr>
                <w:b w:val="0"/>
                <w:i w:val="0"/>
                <w:sz w:val="18"/>
              </w:rPr>
              <w:t>7</w:t>
            </w:r>
          </w:p>
        </w:tc>
        <w:tc>
          <w:tcPr>
            <w:tcW w:type="dxa" w:w="1632"/>
            <w:vAlign w:val="center"/>
            <w:shd w:fill="FFFFFF"/>
          </w:tcPr>
          <w:p>
            <w:pPr>
              <w:spacing w:after="100" w:before="100"/>
            </w:pPr>
            <w:r>
              <w:rPr>
                <w:b w:val="0"/>
                <w:i w:val="0"/>
                <w:sz w:val="18"/>
              </w:rPr>
              <w:t>-32.79357</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E1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184.8</w:t>
            </w:r>
          </w:p>
        </w:tc>
        <w:tc>
          <w:tcPr>
            <w:tcW w:type="dxa" w:w="1632"/>
            <w:vAlign w:val="center"/>
            <w:shd w:fill="FFFFFF"/>
          </w:tcPr>
          <w:p>
            <w:pPr>
              <w:spacing w:after="100" w:before="100"/>
            </w:pPr>
            <w:r>
              <w:rPr>
                <w:b w:val="0"/>
                <w:i w:val="0"/>
                <w:sz w:val="18"/>
              </w:rPr>
              <w:t>184.7</w:t>
            </w:r>
          </w:p>
        </w:tc>
        <w:tc>
          <w:tcPr>
            <w:tcW w:type="dxa" w:w="1632"/>
            <w:vAlign w:val="center"/>
            <w:shd w:fill="FFFFFF"/>
          </w:tcPr>
          <w:p>
            <w:pPr>
              <w:spacing w:after="100" w:before="100"/>
            </w:pPr>
            <w:r>
              <w:rPr>
                <w:b w:val="0"/>
                <w:i w:val="0"/>
                <w:sz w:val="18"/>
              </w:rPr>
              <w:t>0.05414185</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9.67742</w:t>
            </w:r>
          </w:p>
        </w:tc>
        <w:tc>
          <w:tcPr>
            <w:tcW w:type="dxa" w:w="1632"/>
            <w:vAlign w:val="center"/>
            <w:shd w:fill="FFFFFF"/>
          </w:tcPr>
          <w:p>
            <w:pPr>
              <w:spacing w:after="100" w:before="100"/>
            </w:pPr>
            <w:r>
              <w:rPr>
                <w:b w:val="0"/>
                <w:i w:val="0"/>
                <w:sz w:val="18"/>
              </w:rPr>
              <w:t>10.9</w:t>
            </w:r>
          </w:p>
        </w:tc>
        <w:tc>
          <w:tcPr>
            <w:tcW w:type="dxa" w:w="1632"/>
            <w:vAlign w:val="center"/>
            <w:shd w:fill="FFFFFF"/>
          </w:tcPr>
          <w:p>
            <w:pPr>
              <w:spacing w:after="100" w:before="100"/>
            </w:pPr>
            <w:r>
              <w:rPr>
                <w:b w:val="0"/>
                <w:i w:val="0"/>
                <w:sz w:val="18"/>
              </w:rPr>
              <w:t>-11.21633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5.93407</w:t>
            </w:r>
          </w:p>
        </w:tc>
        <w:tc>
          <w:tcPr>
            <w:tcW w:type="dxa" w:w="1632"/>
            <w:vAlign w:val="center"/>
            <w:shd w:fill="FFFFFF"/>
          </w:tcPr>
          <w:p>
            <w:pPr>
              <w:spacing w:after="100" w:before="100"/>
            </w:pPr>
            <w:r>
              <w:rPr>
                <w:b w:val="0"/>
                <w:i w:val="0"/>
                <w:sz w:val="18"/>
              </w:rPr>
              <w:t>6</w:t>
            </w:r>
          </w:p>
        </w:tc>
        <w:tc>
          <w:tcPr>
            <w:tcW w:type="dxa" w:w="1632"/>
            <w:vAlign w:val="center"/>
            <w:shd w:fill="FFFFFF"/>
          </w:tcPr>
          <w:p>
            <w:pPr>
              <w:spacing w:after="100" w:before="100"/>
            </w:pPr>
            <w:r>
              <w:rPr>
                <w:b w:val="0"/>
                <w:i w:val="0"/>
                <w:sz w:val="18"/>
              </w:rPr>
              <w:t>-1.098833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bl>
    <w:p>
      <w:pPr>
        <w:spacing w:after="0"/>
      </w:pPr>
    </w:p>
    <w:p>
      <w:pPr>
        <w:pStyle w:val="ListBullet"/>
      </w:pPr>
      <w:hyperlink r:id="rId94">
        <w:r>
          <w:rPr>
            <w:color w:val="176EA4"/>
          </w:rPr>
          <w:t>NASA/TM—2015-218814 — Experimental and Numerical Analysis of Triaxially Braided Composites Utilizing a Modified Subcell Modeling Approach </w:t>
        </w:r>
      </w:hyperlink>
      <w:r>
        <w:t xml:space="preserve"> </w:t>
      </w:r>
      <w:r>
        <w:rPr>
          <w:b w:val="0"/>
          <w:i w:val="0"/>
        </w:rPr>
        <w:t>Tables 3–4, printed page 7 / PDF page 11</w:t>
      </w:r>
      <w:r>
        <w:rPr>
          <w:b w:val="0"/>
          <w:i w:val="0"/>
        </w:rPr>
        <w:t xml:space="preserve"> </w:t>
      </w:r>
      <w:r>
        <w:rPr>
          <w:b w:val="0"/>
          <w:i w:val="0"/>
        </w:rPr>
        <w:t xml:space="preserve">. </w:t>
      </w:r>
      <w:r>
        <w:rPr>
          <w:b w:val="0"/>
          <w:i w:val="0"/>
        </w:rPr>
        <w:t xml:space="preserve"> </w:t>
      </w:r>
      <w:r>
        <w:rPr>
          <w:b w:val="0"/>
          <w:i w:val="0"/>
        </w:rPr>
        <w:t>MAC/GMC calculated effective ply data, not measured UD coupon properties.</w:t>
      </w:r>
      <w:r>
        <w:t xml:space="preserve"> </w:t>
      </w:r>
    </w:p>
    <w:p>
      <w:pPr>
        <w:keepNext/>
      </w:pPr>
      <w:r>
        <w:rPr>
          <w:b/>
          <w:i w:val="0"/>
        </w:rPr>
        <w:t>Fixture inputs</w:t>
      </w:r>
    </w:p>
    <w:p>
      <w:r>
        <w:t>Exact numerical inputs are retained in the linked validation evidence.</w:t>
      </w:r>
    </w:p>
    <w:p>
      <w:pPr>
        <w:keepNext/>
      </w:pPr>
      <w:r>
        <w:rPr>
          <w:b/>
          <w:i w:val="0"/>
        </w:rPr>
        <w:t xml:space="preserve">Separate published-data fixture: </w:t>
      </w:r>
      <w:r>
        <w:rPr>
          <w:b/>
          <w:i w:val="0"/>
        </w:rPr>
        <w:t xml:space="preserve"> </w:t>
      </w:r>
      <w:r>
        <w:rPr>
          <w:b/>
          <w:i w:val="0"/>
        </w:rPr>
        <w:t>Benchmark discrepancy</w:t>
      </w:r>
    </w:p>
    <w:p>
      <w:pPr/>
      <w:r>
        <w:rPr>
          <w:b w:val="0"/>
          <w:i w:val="0"/>
        </w:rPr>
        <w:t>Source-matched constituent fixture compared with NASA MAC/GMC, 1% exploratory equivalence criterion declared before running. A different homogenization model need not match; mismatch is retained, not fitted away.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E1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88.75</w:t>
            </w:r>
          </w:p>
        </w:tc>
        <w:tc>
          <w:tcPr>
            <w:tcW w:type="dxa" w:w="1632"/>
            <w:vAlign w:val="center"/>
            <w:shd w:fill="FFFFFF"/>
          </w:tcPr>
          <w:p>
            <w:pPr>
              <w:spacing w:after="100" w:before="100"/>
            </w:pPr>
            <w:r>
              <w:rPr>
                <w:b w:val="0"/>
                <w:i w:val="0"/>
                <w:sz w:val="18"/>
              </w:rPr>
              <w:t>88.5</w:t>
            </w:r>
          </w:p>
        </w:tc>
        <w:tc>
          <w:tcPr>
            <w:tcW w:type="dxa" w:w="1632"/>
            <w:vAlign w:val="center"/>
            <w:shd w:fill="FFFFFF"/>
          </w:tcPr>
          <w:p>
            <w:pPr>
              <w:spacing w:after="100" w:before="100"/>
            </w:pPr>
            <w:r>
              <w:rPr>
                <w:b w:val="0"/>
                <w:i w:val="0"/>
                <w:sz w:val="18"/>
              </w:rPr>
              <w:t>0.2824859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6.62252</w:t>
            </w:r>
          </w:p>
        </w:tc>
        <w:tc>
          <w:tcPr>
            <w:tcW w:type="dxa" w:w="1632"/>
            <w:vAlign w:val="center"/>
            <w:shd w:fill="FFFFFF"/>
          </w:tcPr>
          <w:p>
            <w:pPr>
              <w:spacing w:after="100" w:before="100"/>
            </w:pPr>
            <w:r>
              <w:rPr>
                <w:b w:val="0"/>
                <w:i w:val="0"/>
                <w:sz w:val="18"/>
              </w:rPr>
              <w:t>6.22</w:t>
            </w:r>
          </w:p>
        </w:tc>
        <w:tc>
          <w:tcPr>
            <w:tcW w:type="dxa" w:w="1632"/>
            <w:vAlign w:val="center"/>
            <w:shd w:fill="FFFFFF"/>
          </w:tcPr>
          <w:p>
            <w:pPr>
              <w:spacing w:after="100" w:before="100"/>
            </w:pPr>
            <w:r>
              <w:rPr>
                <w:b w:val="0"/>
                <w:i w:val="0"/>
                <w:sz w:val="18"/>
              </w:rPr>
              <w:t>6.471383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2.90406</w:t>
            </w:r>
          </w:p>
        </w:tc>
        <w:tc>
          <w:tcPr>
            <w:tcW w:type="dxa" w:w="1632"/>
            <w:vAlign w:val="center"/>
            <w:shd w:fill="FFFFFF"/>
          </w:tcPr>
          <w:p>
            <w:pPr>
              <w:spacing w:after="100" w:before="100"/>
            </w:pPr>
            <w:r>
              <w:rPr>
                <w:b w:val="0"/>
                <w:i w:val="0"/>
                <w:sz w:val="18"/>
              </w:rPr>
              <w:t>2.6</w:t>
            </w:r>
          </w:p>
        </w:tc>
        <w:tc>
          <w:tcPr>
            <w:tcW w:type="dxa" w:w="1632"/>
            <w:vAlign w:val="center"/>
            <w:shd w:fill="FFFFFF"/>
          </w:tcPr>
          <w:p>
            <w:pPr>
              <w:spacing w:after="100" w:before="100"/>
            </w:pPr>
            <w:r>
              <w:rPr>
                <w:b w:val="0"/>
                <w:i w:val="0"/>
                <w:sz w:val="18"/>
              </w:rPr>
              <w:t>11.69462</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E1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169.658</w:t>
            </w:r>
          </w:p>
        </w:tc>
        <w:tc>
          <w:tcPr>
            <w:tcW w:type="dxa" w:w="1632"/>
            <w:vAlign w:val="center"/>
            <w:shd w:fill="FFFFFF"/>
          </w:tcPr>
          <w:p>
            <w:pPr>
              <w:spacing w:after="100" w:before="100"/>
            </w:pPr>
            <w:r>
              <w:rPr>
                <w:b w:val="0"/>
                <w:i w:val="0"/>
                <w:sz w:val="18"/>
              </w:rPr>
              <w:t>169.5</w:t>
            </w:r>
          </w:p>
        </w:tc>
        <w:tc>
          <w:tcPr>
            <w:tcW w:type="dxa" w:w="1632"/>
            <w:vAlign w:val="center"/>
            <w:shd w:fill="FFFFFF"/>
          </w:tcPr>
          <w:p>
            <w:pPr>
              <w:spacing w:after="100" w:before="100"/>
            </w:pPr>
            <w:r>
              <w:rPr>
                <w:b w:val="0"/>
                <w:i w:val="0"/>
                <w:sz w:val="18"/>
              </w:rPr>
              <w:t>0.09321534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10.47761</w:t>
            </w:r>
          </w:p>
        </w:tc>
        <w:tc>
          <w:tcPr>
            <w:tcW w:type="dxa" w:w="1632"/>
            <w:vAlign w:val="center"/>
            <w:shd w:fill="FFFFFF"/>
          </w:tcPr>
          <w:p>
            <w:pPr>
              <w:spacing w:after="100" w:before="100"/>
            </w:pPr>
            <w:r>
              <w:rPr>
                <w:b w:val="0"/>
                <w:i w:val="0"/>
                <w:sz w:val="18"/>
              </w:rPr>
              <w:t>9.9</w:t>
            </w:r>
          </w:p>
        </w:tc>
        <w:tc>
          <w:tcPr>
            <w:tcW w:type="dxa" w:w="1632"/>
            <w:vAlign w:val="center"/>
            <w:shd w:fill="FFFFFF"/>
          </w:tcPr>
          <w:p>
            <w:pPr>
              <w:spacing w:after="100" w:before="100"/>
            </w:pPr>
            <w:r>
              <w:rPr>
                <w:b w:val="0"/>
                <w:i w:val="0"/>
                <w:sz w:val="18"/>
              </w:rPr>
              <w:t>5.834444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7.00011</w:t>
            </w:r>
          </w:p>
        </w:tc>
        <w:tc>
          <w:tcPr>
            <w:tcW w:type="dxa" w:w="1632"/>
            <w:vAlign w:val="center"/>
            <w:shd w:fill="FFFFFF"/>
          </w:tcPr>
          <w:p>
            <w:pPr>
              <w:spacing w:after="100" w:before="100"/>
            </w:pPr>
            <w:r>
              <w:rPr>
                <w:b w:val="0"/>
                <w:i w:val="0"/>
                <w:sz w:val="18"/>
              </w:rPr>
              <w:t>7</w:t>
            </w:r>
          </w:p>
        </w:tc>
        <w:tc>
          <w:tcPr>
            <w:tcW w:type="dxa" w:w="1632"/>
            <w:vAlign w:val="center"/>
            <w:shd w:fill="FFFFFF"/>
          </w:tcPr>
          <w:p>
            <w:pPr>
              <w:spacing w:after="100" w:before="100"/>
            </w:pPr>
            <w:r>
              <w:rPr>
                <w:b w:val="0"/>
                <w:i w:val="0"/>
                <w:sz w:val="18"/>
              </w:rPr>
              <w:t>0.00157143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E1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184.8</w:t>
            </w:r>
          </w:p>
        </w:tc>
        <w:tc>
          <w:tcPr>
            <w:tcW w:type="dxa" w:w="1632"/>
            <w:vAlign w:val="center"/>
            <w:shd w:fill="FFFFFF"/>
          </w:tcPr>
          <w:p>
            <w:pPr>
              <w:spacing w:after="100" w:before="100"/>
            </w:pPr>
            <w:r>
              <w:rPr>
                <w:b w:val="0"/>
                <w:i w:val="0"/>
                <w:sz w:val="18"/>
              </w:rPr>
              <w:t>184.7</w:t>
            </w:r>
          </w:p>
        </w:tc>
        <w:tc>
          <w:tcPr>
            <w:tcW w:type="dxa" w:w="1632"/>
            <w:vAlign w:val="center"/>
            <w:shd w:fill="FFFFFF"/>
          </w:tcPr>
          <w:p>
            <w:pPr>
              <w:spacing w:after="100" w:before="100"/>
            </w:pPr>
            <w:r>
              <w:rPr>
                <w:b w:val="0"/>
                <w:i w:val="0"/>
                <w:sz w:val="18"/>
              </w:rPr>
              <w:t>0.05414185</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11.43662</w:t>
            </w:r>
          </w:p>
        </w:tc>
        <w:tc>
          <w:tcPr>
            <w:tcW w:type="dxa" w:w="1632"/>
            <w:vAlign w:val="center"/>
            <w:shd w:fill="FFFFFF"/>
          </w:tcPr>
          <w:p>
            <w:pPr>
              <w:spacing w:after="100" w:before="100"/>
            </w:pPr>
            <w:r>
              <w:rPr>
                <w:b w:val="0"/>
                <w:i w:val="0"/>
                <w:sz w:val="18"/>
              </w:rPr>
              <w:t>10.9</w:t>
            </w:r>
          </w:p>
        </w:tc>
        <w:tc>
          <w:tcPr>
            <w:tcW w:type="dxa" w:w="1632"/>
            <w:vAlign w:val="center"/>
            <w:shd w:fill="FFFFFF"/>
          </w:tcPr>
          <w:p>
            <w:pPr>
              <w:spacing w:after="100" w:before="100"/>
            </w:pPr>
            <w:r>
              <w:rPr>
                <w:b w:val="0"/>
                <w:i w:val="0"/>
                <w:sz w:val="18"/>
              </w:rPr>
              <w:t>4.923119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8.80865</w:t>
            </w:r>
          </w:p>
        </w:tc>
        <w:tc>
          <w:tcPr>
            <w:tcW w:type="dxa" w:w="1632"/>
            <w:vAlign w:val="center"/>
            <w:shd w:fill="FFFFFF"/>
          </w:tcPr>
          <w:p>
            <w:pPr>
              <w:spacing w:after="100" w:before="100"/>
            </w:pPr>
            <w:r>
              <w:rPr>
                <w:b w:val="0"/>
                <w:i w:val="0"/>
                <w:sz w:val="18"/>
              </w:rPr>
              <w:t>6</w:t>
            </w:r>
          </w:p>
        </w:tc>
        <w:tc>
          <w:tcPr>
            <w:tcW w:type="dxa" w:w="1632"/>
            <w:vAlign w:val="center"/>
            <w:shd w:fill="FFFFFF"/>
          </w:tcPr>
          <w:p>
            <w:pPr>
              <w:spacing w:after="100" w:before="100"/>
            </w:pPr>
            <w:r>
              <w:rPr>
                <w:b w:val="0"/>
                <w:i w:val="0"/>
                <w:sz w:val="18"/>
              </w:rPr>
              <w:t>46.81083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bl>
    <w:p>
      <w:pPr>
        <w:spacing w:after="0"/>
      </w:pPr>
    </w:p>
    <w:p>
      <w:pPr>
        <w:pStyle w:val="ListBullet"/>
      </w:pPr>
      <w:hyperlink r:id="rId94">
        <w:r>
          <w:rPr>
            <w:color w:val="176EA4"/>
          </w:rPr>
          <w:t>NASA/TM—2015-218814 — Experimental and Numerical Analysis of Triaxially Braided Composites Utilizing a Modified Subcell Modeling Approach </w:t>
        </w:r>
      </w:hyperlink>
      <w:r>
        <w:t xml:space="preserve"> </w:t>
      </w:r>
      <w:r>
        <w:rPr>
          <w:b w:val="0"/>
          <w:i w:val="0"/>
        </w:rPr>
        <w:t>Tables 3–4, printed page 7 / PDF page 11</w:t>
      </w:r>
      <w:r>
        <w:rPr>
          <w:b w:val="0"/>
          <w:i w:val="0"/>
        </w:rPr>
        <w:t xml:space="preserve"> </w:t>
      </w:r>
      <w:r>
        <w:rPr>
          <w:b w:val="0"/>
          <w:i w:val="0"/>
        </w:rPr>
        <w:t xml:space="preserve">. </w:t>
      </w:r>
      <w:r>
        <w:rPr>
          <w:b w:val="0"/>
          <w:i w:val="0"/>
        </w:rPr>
        <w:t xml:space="preserve"> </w:t>
      </w:r>
      <w:r>
        <w:rPr>
          <w:b w:val="0"/>
          <w:i w:val="0"/>
        </w:rPr>
        <w:t>MAC/GMC calculated effective ply data, not measured UD coupon properties.</w:t>
      </w:r>
      <w:r>
        <w:t xml:space="preserve"> </w:t>
      </w:r>
    </w:p>
    <w:p>
      <w:pPr>
        <w:keepNext/>
      </w:pPr>
      <w:r>
        <w:rPr>
          <w:b/>
          <w:i w:val="0"/>
        </w:rPr>
        <w:t>Fixture inputs</w:t>
      </w:r>
    </w:p>
    <w:p>
      <w:r>
        <w:t>Exact numerical inputs are retained in the linked validation evidence.</w:t>
      </w:r>
    </w:p>
    <w:p>
      <w:pPr/>
      <w:hyperlink r:id="rId95">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NASA · Balanced T700/epoxy tube laminate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The copied IM7 pressure-vessel records are scaffolding. Replace the ply source and dimensions with the published T700/epoxy inputs; a pressure load is not an axial or torsional test.</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Classical-laminate and first-ply screening. Manufacturing variation and qualification are excluded; the source describes estimated ply data.</w:t>
      </w:r>
    </w:p>
    <w:p>
      <w:pPr>
        <w:keepNext/>
      </w:pPr>
      <w:r>
        <w:rPr>
          <w:b/>
          <w:i w:val="0"/>
        </w:rPr>
        <w:t xml:space="preserve">Separate published-data fixture: </w:t>
      </w:r>
      <w:r>
        <w:rPr>
          <w:b/>
          <w:i w:val="0"/>
        </w:rPr>
        <w:t xml:space="preserve"> </w:t>
      </w:r>
      <w:r>
        <w:rPr>
          <w:b/>
          <w:i w:val="0"/>
        </w:rPr>
        <w:t>Benchmark validated — published calculation</w:t>
      </w:r>
    </w:p>
    <w:p>
      <w:pPr/>
      <w:r>
        <w:rPr>
          <w:b w:val="0"/>
          <w:i w:val="0"/>
        </w:rPr>
        <w:t>Separate source-matched stiffness fixture, NOT the unchanged IM7 starter. Only Ex, Gxy and νxy. No experimental or strength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27.71415</w:t>
            </w:r>
          </w:p>
        </w:tc>
        <w:tc>
          <w:tcPr>
            <w:tcW w:type="dxa" w:w="1632"/>
            <w:vAlign w:val="center"/>
            <w:shd w:fill="FFFFFF"/>
          </w:tcPr>
          <w:p>
            <w:pPr>
              <w:spacing w:after="100" w:before="100"/>
            </w:pPr>
            <w:r>
              <w:rPr>
                <w:b w:val="0"/>
                <w:i w:val="0"/>
                <w:sz w:val="18"/>
              </w:rPr>
              <w:t>27.7</w:t>
            </w:r>
          </w:p>
        </w:tc>
        <w:tc>
          <w:tcPr>
            <w:tcW w:type="dxa" w:w="1632"/>
            <w:vAlign w:val="center"/>
            <w:shd w:fill="FFFFFF"/>
          </w:tcPr>
          <w:p>
            <w:pPr>
              <w:spacing w:after="100" w:before="100"/>
            </w:pPr>
            <w:r>
              <w:rPr>
                <w:b w:val="0"/>
                <w:i w:val="0"/>
                <w:sz w:val="18"/>
              </w:rPr>
              <w:t>0.05108303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39.54424</w:t>
            </w:r>
          </w:p>
        </w:tc>
        <w:tc>
          <w:tcPr>
            <w:tcW w:type="dxa" w:w="1632"/>
            <w:vAlign w:val="center"/>
            <w:shd w:fill="FFFFFF"/>
          </w:tcPr>
          <w:p>
            <w:pPr>
              <w:spacing w:after="100" w:before="100"/>
            </w:pPr>
            <w:r>
              <w:rPr>
                <w:b w:val="0"/>
                <w:i w:val="0"/>
                <w:sz w:val="18"/>
              </w:rPr>
              <w:t>39.6</w:t>
            </w:r>
          </w:p>
        </w:tc>
        <w:tc>
          <w:tcPr>
            <w:tcW w:type="dxa" w:w="1632"/>
            <w:vAlign w:val="center"/>
            <w:shd w:fill="FFFFFF"/>
          </w:tcPr>
          <w:p>
            <w:pPr>
              <w:spacing w:after="100" w:before="100"/>
            </w:pPr>
            <w:r>
              <w:rPr>
                <w:b w:val="0"/>
                <w:i w:val="0"/>
                <w:sz w:val="18"/>
              </w:rPr>
              <w:t>-0.1408081</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0.67558</w:t>
            </w:r>
          </w:p>
        </w:tc>
        <w:tc>
          <w:tcPr>
            <w:tcW w:type="dxa" w:w="1632"/>
            <w:vAlign w:val="center"/>
            <w:shd w:fill="FFFFFF"/>
          </w:tcPr>
          <w:p>
            <w:pPr>
              <w:spacing w:after="100" w:before="100"/>
            </w:pPr>
            <w:r>
              <w:rPr>
                <w:b w:val="0"/>
                <w:i w:val="0"/>
                <w:sz w:val="18"/>
              </w:rPr>
              <w:t>0.68</w:t>
            </w:r>
          </w:p>
        </w:tc>
        <w:tc>
          <w:tcPr>
            <w:tcW w:type="dxa" w:w="1632"/>
            <w:vAlign w:val="center"/>
            <w:shd w:fill="FFFFFF"/>
          </w:tcPr>
          <w:p>
            <w:pPr>
              <w:spacing w:after="100" w:before="100"/>
            </w:pPr>
            <w:r>
              <w:rPr>
                <w:b w:val="0"/>
                <w:i w:val="0"/>
                <w:sz w:val="18"/>
              </w:rPr>
              <w:t>-0.65</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keepNext/>
      </w:pPr>
      <w:r>
        <w:rPr>
          <w:b/>
          <w:i w:val="0"/>
        </w:rPr>
        <w:t>Fixture inputs</w:t>
      </w:r>
    </w:p>
    <w:p>
      <w:r>
        <w:t>Exact numerical inputs are retained in the linked validation evidence.</w:t>
      </w:r>
    </w:p>
    <w:p>
      <w:pPr/>
      <w:hyperlink r:id="rId97">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NASA · Thick T700S/TC380 cure process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The starter resin and cycle are not TC380 calibration. The source supplies the schedule and measured checkpoints, but not all kinetics, heat-of-reaction or transport inputs. Source those inputs before a quantitative comparison.</w:t>
      </w:r>
    </w:p>
    <w:p>
      <w:pPr>
        <w:pStyle w:val="ListBullet"/>
      </w:pPr>
      <w:hyperlink r:id="rId98">
        <w:r>
          <w:rPr>
            <w:color w:val="176EA4"/>
          </w:rPr>
          <w:t>NASA — Evaluation of Temperature Gradients During Cure of a Thick Carbon Fiber/Epoxy Composite </w:t>
        </w:r>
      </w:hyperlink>
      <w:r>
        <w:t xml:space="preserve"> </w:t>
      </w:r>
      <w:r>
        <w:rPr>
          <w:b w:val="0"/>
          <w:i w:val="0"/>
        </w:rPr>
        <w:t>Source study identified; quantitative reproduction not established</w:t>
      </w:r>
      <w:r>
        <w:rPr>
          <w:b w:val="0"/>
          <w:i w:val="0"/>
        </w:rPr>
        <w:t xml:space="preserve"> </w:t>
      </w:r>
      <w:r>
        <w:rPr>
          <w:b w:val="0"/>
          <w:i w:val="0"/>
        </w:rPr>
        <w:t xml:space="preserve">. </w:t>
      </w:r>
      <w:r>
        <w:rPr>
          <w:b w:val="0"/>
          <w:i w:val="0"/>
        </w:rPr>
        <w:t xml:space="preserve"> </w:t>
      </w:r>
      <w:r>
        <w:rPr>
          <w:b w:val="0"/>
          <w:i w:val="0"/>
        </w:rPr>
        <w:t>TC380 kinetics, reaction heat, transport, boundary characterization and digitized measurements still required.</w:t>
      </w:r>
      <w:r>
        <w:t xml:space="preserve"> </w:t>
      </w:r>
    </w:p>
    <w:p>
      <w:pPr>
        <w:pStyle w:val="Heading3"/>
      </w:pPr>
      <w:r>
        <w:t>Tested inputs</w:t>
      </w:r>
    </w:p>
    <w:p>
      <w:pPr>
        <w:pStyle w:val="ListBullet"/>
      </w:pPr>
      <w:r>
        <w:rPr>
          <w:b w:val="0"/>
          <w:i w:val="0"/>
        </w:rPr>
        <w:t>One-dimensional through-thickness study, not oven airflow or a general 3D process model. Missing TC380 calibration remains a setup requirement, never a default validated result.</w:t>
      </w:r>
    </w:p>
    <w:p>
      <w:pPr/>
      <w:hyperlink r:id="rId99">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NASA · AS4/3501-6 pressure-cylinder screening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The starter uses IM7/8552, not AS4/3501-6. Supply traceable AS4/3501-6 ply properties, thickness and the source diameter convention before comparison. Slits are intentionally outside this pristine-cylinder model.</w:t>
      </w:r>
    </w:p>
    <w:p>
      <w:pPr>
        <w:pStyle w:val="ListBullet"/>
      </w:pPr>
      <w:hyperlink r:id="rId100">
        <w:r>
          <w:rPr>
            <w:color w:val="176EA4"/>
          </w:rPr>
          <w:t>NASA-CR-195101 — Damage Tolerance of Pressurized Graphite/Epoxy Tape Cylinders Under Uniaxial and Biaxial Loading </w:t>
        </w:r>
      </w:hyperlink>
      <w:r>
        <w:t xml:space="preserve"> </w:t>
      </w:r>
      <w:r>
        <w:rPr>
          <w:b w:val="0"/>
          <w:i w:val="0"/>
        </w:rPr>
        <w:t>Source study identified; matched slit-cylinder dataset not reproduced</w:t>
      </w:r>
      <w:r>
        <w:rPr>
          <w:b w:val="0"/>
          <w:i w:val="0"/>
        </w:rPr>
        <w:t xml:space="preserve"> </w:t>
      </w:r>
      <w:r>
        <w:rPr>
          <w:b w:val="0"/>
          <w:i w:val="0"/>
        </w:rPr>
        <w:t xml:space="preserve">. </w:t>
      </w:r>
      <w:r>
        <w:rPr>
          <w:b w:val="0"/>
          <w:i w:val="0"/>
        </w:rPr>
        <w:t xml:space="preserve"> </w:t>
      </w:r>
      <w:r>
        <w:rPr>
          <w:b w:val="0"/>
          <w:i w:val="0"/>
        </w:rPr>
        <w:t>Slit-tip damage and failure pressure are outside pristine membrane scope.</w:t>
      </w:r>
      <w:r>
        <w:t xml:space="preserve"> </w:t>
      </w:r>
    </w:p>
    <w:p>
      <w:pPr>
        <w:pStyle w:val="Heading3"/>
      </w:pPr>
      <w:r>
        <w:t>Tested inputs</w:t>
      </w:r>
    </w:p>
    <w:p>
      <w:pPr>
        <w:pStyle w:val="ListBullet"/>
      </w:pPr>
      <w:r>
        <w:rPr>
          <w:b w:val="0"/>
          <w:i w:val="0"/>
        </w:rPr>
        <w:t>Pristine-cylinder screening only. Slit-tip fracture, splitting, delamination, nonlinear local response and the source’s subcritical damage are not solved here.</w:t>
      </w:r>
    </w:p>
    <w:p>
      <w:pPr/>
      <w:hyperlink r:id="rId101">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Pultrusion: heated die and residence time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teaching process using existing T700/epoxy laminate properties and illustrative cure parameters, not a calibrated pultrusion recipe. Constant-speed moving section; no axial conduction, impregnation, leakage, die thermal mass or pulling-force prediction. Use Thermal Run, not batch-cycle optimization.</w:t>
      </w:r>
    </w:p>
    <w:p>
      <w:pPr/>
      <w:hyperlink r:id="rId102">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Pultrusion: multi-zone die and pulling speed</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teaching process using existing T700/epoxy laminate properties and illustrative cure parameters, not a calibrated pultrusion recipe. Constant-speed moving section; no axial conduction, impregnation, leakage, die thermal mass or pulling-force prediction. Use Thermal Run, not batch-cycle optimization.</w:t>
      </w:r>
    </w:p>
    <w:p>
      <w:pPr/>
      <w:hyperlink r:id="rId103">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UV cure: exposure, penetration and exotherm</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UV-compatible teaching composite: inherited T700/epoxy elastic and transport values do not establish commercial resin UV compatibility or carbon-composite transparency. Effective optics, kinetics and enthalpy require calibration. No oxygen transport, shadowing, multiple scattering or radical dark cure. Use Run, not UV process optimization.</w:t>
      </w:r>
    </w:p>
    <w:p>
      <w:pPr/>
      <w:hyperlink r:id="rId104">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01 · Rule of mixtures · continuous fibers</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1.71373e-06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1.71373e-06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-2.84568e-06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0.31789</w:t>
            </w:r>
          </w:p>
        </w:tc>
        <w:tc>
          <w:tcPr>
            <w:tcW w:type="dxa" w:w="1632"/>
            <w:vAlign w:val="center"/>
            <w:shd w:fill="FFFFFF"/>
          </w:tcPr>
          <w:p>
            <w:pPr>
              <w:spacing w:after="100" w:before="100"/>
            </w:pPr>
            <w:r>
              <w:rPr>
                <w:b w:val="0"/>
                <w:i w:val="0"/>
                <w:sz w:val="18"/>
              </w:rPr>
              <w:t>0.317886</w:t>
            </w:r>
          </w:p>
        </w:tc>
        <w:tc>
          <w:tcPr>
            <w:tcW w:type="dxa" w:w="1632"/>
            <w:vAlign w:val="center"/>
            <w:shd w:fill="FFFFFF"/>
          </w:tcPr>
          <w:p>
            <w:pPr>
              <w:spacing w:after="100" w:before="100"/>
            </w:pPr>
            <w:r>
              <w:rPr>
                <w:b w:val="0"/>
                <w:i w:val="0"/>
                <w:sz w:val="18"/>
              </w:rPr>
              <w:t>0.00126045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E1</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6.41264</w:t>
            </w:r>
          </w:p>
        </w:tc>
        <w:tc>
          <w:tcPr>
            <w:tcW w:type="dxa" w:w="1632"/>
            <w:vAlign w:val="center"/>
            <w:shd w:fill="FFFFFF"/>
          </w:tcPr>
          <w:p>
            <w:pPr>
              <w:spacing w:after="100" w:before="100"/>
            </w:pPr>
            <w:r>
              <w:rPr>
                <w:b w:val="0"/>
                <w:i w:val="0"/>
                <w:sz w:val="18"/>
              </w:rPr>
              <w:t>6.412639</w:t>
            </w:r>
          </w:p>
        </w:tc>
        <w:tc>
          <w:tcPr>
            <w:tcW w:type="dxa" w:w="1632"/>
            <w:vAlign w:val="center"/>
            <w:shd w:fill="FFFFFF"/>
          </w:tcPr>
          <w:p>
            <w:pPr>
              <w:spacing w:after="100" w:before="100"/>
            </w:pPr>
            <w:r>
              <w:rPr>
                <w:b w:val="0"/>
                <w:i w:val="0"/>
                <w:sz w:val="18"/>
              </w:rPr>
              <w:t>9.27536e-06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G12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2.98755</w:t>
            </w:r>
          </w:p>
        </w:tc>
        <w:tc>
          <w:tcPr>
            <w:tcW w:type="dxa" w:w="1632"/>
            <w:vAlign w:val="center"/>
            <w:shd w:fill="FFFFFF"/>
          </w:tcPr>
          <w:p>
            <w:pPr>
              <w:spacing w:after="100" w:before="100"/>
            </w:pPr>
            <w:r>
              <w:rPr>
                <w:b w:val="0"/>
                <w:i w:val="0"/>
                <w:sz w:val="18"/>
              </w:rPr>
              <w:t>2.987552</w:t>
            </w:r>
          </w:p>
        </w:tc>
        <w:tc>
          <w:tcPr>
            <w:tcW w:type="dxa" w:w="1632"/>
            <w:vAlign w:val="center"/>
            <w:shd w:fill="FFFFFF"/>
          </w:tcPr>
          <w:p>
            <w:pPr>
              <w:spacing w:after="100" w:before="100"/>
            </w:pPr>
            <w:r>
              <w:rPr>
                <w:b w:val="0"/>
                <w:i w:val="0"/>
                <w:sz w:val="18"/>
              </w:rPr>
              <w:t>-0.0000625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ν12</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81">
        <w:r>
          <w:rPr>
            <w:color w:val="176EA4"/>
          </w:rPr>
          <w:t>MIT / David Roylance — Introduction to Composites </w:t>
        </w:r>
      </w:hyperlink>
      <w:r>
        <w:t xml:space="preserve"> </w:t>
      </w:r>
      <w:r>
        <w:rPr>
          <w:b w:val="0"/>
          <w:i w:val="0"/>
        </w:rPr>
        <w:t>Equations 1–3, printed pages 3–4</w:t>
      </w:r>
      <w:r>
        <w:rPr>
          <w:b w:val="0"/>
          <w:i w:val="0"/>
        </w:rPr>
        <w:t xml:space="preserve"> </w:t>
      </w:r>
      <w:r>
        <w:rPr>
          <w:b w:val="0"/>
          <w:i w:val="0"/>
        </w:rPr>
        <w:t xml:space="preserve">. </w:t>
      </w:r>
      <w:r>
        <w:rPr>
          <w:b w:val="0"/>
          <w:i w:val="0"/>
        </w:rPr>
        <w:t xml:space="preserve"> </w:t>
      </w:r>
      <w:r>
        <w:rPr>
          <w:b w:val="0"/>
          <w:i w:val="0"/>
        </w:rPr>
        <w:t>Published analytical equations; not experimental material validation.</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Ideal continuous, aligned reinforcement with zero voids. This is a teaching comparison, not a measured material allowable.</w:t>
      </w:r>
    </w:p>
    <w:p>
      <w:pPr/>
      <w:hyperlink r:id="rId105">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02 · Halpin–Tsai · transverse stiffness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Nonzero-void closure has no matched published calibration in this study</w:t>
      </w:r>
    </w:p>
    <w:p>
      <w:pPr>
        <w:pStyle w:val="Heading3"/>
      </w:pPr>
      <w:r>
        <w:t>Tested inputs</w:t>
      </w:r>
    </w:p>
    <w:p>
      <w:pPr>
        <w:pStyle w:val="ListBullet"/>
      </w:pPr>
      <w:r>
        <w:rPr>
          <w:b w:val="0"/>
          <w:i w:val="0"/>
        </w:rPr>
        <w:t>Use the editable model inputs and their documented assumptions; matching a trend does not validate a strength prediction.</w:t>
      </w:r>
    </w:p>
    <w:p>
      <w:pPr/>
      <w:hyperlink r:id="rId106">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03 · Short fibers · shear-lag transfer</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Aligned monodisperse elastic fibers, perfect interface and concentric-cell shear lag. Halpin–Tsai transverse/shear screening closure. Existing constituent data are reused; the short-fiber composite and its strength allowables are a hypothetical teaching system.</w:t>
      </w:r>
    </w:p>
    <w:p>
      <w:pPr/>
      <w:hyperlink r:id="rId107">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04 · Hybrid fibers · orientation distribution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Prescribed orientation, common filament dimensions and resin. Voigt stiffness averaging; not a manufacturing orientation prediction or progressive failure model. Thermal transport retains aligned closure assumptions.</w:t>
      </w:r>
    </w:p>
    <w:p>
      <w:pPr/>
      <w:hyperlink r:id="rId108">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05 · Tensile coupon · laminate orientation</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ASTM-based teaching geometry, not certification. Grips, tabs, alignment and physical test validity are not simulated.</w:t>
      </w:r>
    </w:p>
    <w:p>
      <w:pPr/>
      <w:hyperlink r:id="rId109">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06 · ±45° laminate · in-plane shear</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2.7757e-05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2.7757e-05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34.82813</w:t>
            </w:r>
          </w:p>
        </w:tc>
        <w:tc>
          <w:tcPr>
            <w:tcW w:type="dxa" w:w="1632"/>
            <w:vAlign w:val="center"/>
            <w:shd w:fill="FFFFFF"/>
          </w:tcPr>
          <w:p>
            <w:pPr>
              <w:spacing w:after="100" w:before="100"/>
            </w:pPr>
            <w:r>
              <w:rPr>
                <w:b w:val="0"/>
                <w:i w:val="0"/>
                <w:sz w:val="18"/>
              </w:rPr>
              <w:t>34.82813</w:t>
            </w:r>
          </w:p>
        </w:tc>
        <w:tc>
          <w:tcPr>
            <w:tcW w:type="dxa" w:w="1632"/>
            <w:vAlign w:val="center"/>
            <w:shd w:fill="FFFFFF"/>
          </w:tcPr>
          <w:p>
            <w:pPr>
              <w:spacing w:after="100" w:before="100"/>
            </w:pPr>
            <w:r>
              <w:rPr>
                <w:b w:val="0"/>
                <w:i w:val="0"/>
                <w:sz w:val="18"/>
              </w:rPr>
              <w:t>-6.41391e-06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0.77378</w:t>
            </w:r>
          </w:p>
        </w:tc>
        <w:tc>
          <w:tcPr>
            <w:tcW w:type="dxa" w:w="1632"/>
            <w:vAlign w:val="center"/>
            <w:shd w:fill="FFFFFF"/>
          </w:tcPr>
          <w:p>
            <w:pPr>
              <w:spacing w:after="100" w:before="100"/>
            </w:pPr>
            <w:r>
              <w:rPr>
                <w:b w:val="0"/>
                <w:i w:val="0"/>
                <w:sz w:val="18"/>
              </w:rPr>
              <w:t>0.7737776</w:t>
            </w:r>
          </w:p>
        </w:tc>
        <w:tc>
          <w:tcPr>
            <w:tcW w:type="dxa" w:w="1632"/>
            <w:vAlign w:val="center"/>
            <w:shd w:fill="FFFFFF"/>
          </w:tcPr>
          <w:p>
            <w:pPr>
              <w:spacing w:after="100" w:before="100"/>
            </w:pPr>
            <w:r>
              <w:rPr>
                <w:b w:val="0"/>
                <w:i w:val="0"/>
                <w:sz w:val="18"/>
              </w:rPr>
              <w:t>0.000305947</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Small-strain elastic teaching model; fibre rotation and nonlinear termination rules are not represented.</w:t>
      </w:r>
    </w:p>
    <w:p>
      <w:pPr/>
      <w:hyperlink r:id="rId110">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07 · Stored lamina material · bypass Micro</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representative lamina properties, not a solved Micro recipe or qualified design allowables.</w:t>
      </w:r>
    </w:p>
    <w:p>
      <w:pPr/>
      <w:hyperlink r:id="rId111">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08 · Mixed stored/solved plies · unequal thickness</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51.56151</w:t>
            </w:r>
          </w:p>
        </w:tc>
        <w:tc>
          <w:tcPr>
            <w:tcW w:type="dxa" w:w="1632"/>
            <w:vAlign w:val="center"/>
            <w:shd w:fill="FFFFFF"/>
          </w:tcPr>
          <w:p>
            <w:pPr>
              <w:spacing w:after="100" w:before="100"/>
            </w:pPr>
            <w:r>
              <w:rPr>
                <w:b w:val="0"/>
                <w:i w:val="0"/>
                <w:sz w:val="18"/>
              </w:rPr>
              <w:t>51.56151</w:t>
            </w:r>
          </w:p>
        </w:tc>
        <w:tc>
          <w:tcPr>
            <w:tcW w:type="dxa" w:w="1632"/>
            <w:vAlign w:val="center"/>
            <w:shd w:fill="FFFFFF"/>
          </w:tcPr>
          <w:p>
            <w:pPr>
              <w:spacing w:after="100" w:before="100"/>
            </w:pPr>
            <w:r>
              <w:rPr>
                <w:b w:val="0"/>
                <w:i w:val="0"/>
                <w:sz w:val="18"/>
              </w:rPr>
              <w:t>-5.55386e-06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51.56151</w:t>
            </w:r>
          </w:p>
        </w:tc>
        <w:tc>
          <w:tcPr>
            <w:tcW w:type="dxa" w:w="1632"/>
            <w:vAlign w:val="center"/>
            <w:shd w:fill="FFFFFF"/>
          </w:tcPr>
          <w:p>
            <w:pPr>
              <w:spacing w:after="100" w:before="100"/>
            </w:pPr>
            <w:r>
              <w:rPr>
                <w:b w:val="0"/>
                <w:i w:val="0"/>
                <w:sz w:val="18"/>
              </w:rPr>
              <w:t>51.56151</w:t>
            </w:r>
          </w:p>
        </w:tc>
        <w:tc>
          <w:tcPr>
            <w:tcW w:type="dxa" w:w="1632"/>
            <w:vAlign w:val="center"/>
            <w:shd w:fill="FFFFFF"/>
          </w:tcPr>
          <w:p>
            <w:pPr>
              <w:spacing w:after="100" w:before="100"/>
            </w:pPr>
            <w:r>
              <w:rPr>
                <w:b w:val="0"/>
                <w:i w:val="0"/>
                <w:sz w:val="18"/>
              </w:rPr>
              <w:t>-5.55386e-06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19.63108</w:t>
            </w:r>
          </w:p>
        </w:tc>
        <w:tc>
          <w:tcPr>
            <w:tcW w:type="dxa" w:w="1632"/>
            <w:vAlign w:val="center"/>
            <w:shd w:fill="FFFFFF"/>
          </w:tcPr>
          <w:p>
            <w:pPr>
              <w:spacing w:after="100" w:before="100"/>
            </w:pPr>
            <w:r>
              <w:rPr>
                <w:b w:val="0"/>
                <w:i w:val="0"/>
                <w:sz w:val="18"/>
              </w:rPr>
              <w:t>19.63108</w:t>
            </w:r>
          </w:p>
        </w:tc>
        <w:tc>
          <w:tcPr>
            <w:tcW w:type="dxa" w:w="1632"/>
            <w:vAlign w:val="center"/>
            <w:shd w:fill="FFFFFF"/>
          </w:tcPr>
          <w:p>
            <w:pPr>
              <w:spacing w:after="100" w:before="100"/>
            </w:pPr>
            <w:r>
              <w:rPr>
                <w:b w:val="0"/>
                <w:i w:val="0"/>
                <w:sz w:val="18"/>
              </w:rPr>
              <w:t>2.09337e-05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0.31326</w:t>
            </w:r>
          </w:p>
        </w:tc>
        <w:tc>
          <w:tcPr>
            <w:tcW w:type="dxa" w:w="1632"/>
            <w:vAlign w:val="center"/>
            <w:shd w:fill="FFFFFF"/>
          </w:tcPr>
          <w:p>
            <w:pPr>
              <w:spacing w:after="100" w:before="100"/>
            </w:pPr>
            <w:r>
              <w:rPr>
                <w:b w:val="0"/>
                <w:i w:val="0"/>
                <w:sz w:val="18"/>
              </w:rPr>
              <w:t>0.3132625</w:t>
            </w:r>
          </w:p>
        </w:tc>
        <w:tc>
          <w:tcPr>
            <w:tcW w:type="dxa" w:w="1632"/>
            <w:vAlign w:val="center"/>
            <w:shd w:fill="FFFFFF"/>
          </w:tcPr>
          <w:p>
            <w:pPr>
              <w:spacing w:after="100" w:before="100"/>
            </w:pPr>
            <w:r>
              <w:rPr>
                <w:b w:val="0"/>
                <w:i w:val="0"/>
                <w:sz w:val="18"/>
              </w:rPr>
              <w:t>-0.0008083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E1</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6.41264</w:t>
            </w:r>
          </w:p>
        </w:tc>
        <w:tc>
          <w:tcPr>
            <w:tcW w:type="dxa" w:w="1632"/>
            <w:vAlign w:val="center"/>
            <w:shd w:fill="FFFFFF"/>
          </w:tcPr>
          <w:p>
            <w:pPr>
              <w:spacing w:after="100" w:before="100"/>
            </w:pPr>
            <w:r>
              <w:rPr>
                <w:b w:val="0"/>
                <w:i w:val="0"/>
                <w:sz w:val="18"/>
              </w:rPr>
              <w:t>6.412639</w:t>
            </w:r>
          </w:p>
        </w:tc>
        <w:tc>
          <w:tcPr>
            <w:tcW w:type="dxa" w:w="1632"/>
            <w:vAlign w:val="center"/>
            <w:shd w:fill="FFFFFF"/>
          </w:tcPr>
          <w:p>
            <w:pPr>
              <w:spacing w:after="100" w:before="100"/>
            </w:pPr>
            <w:r>
              <w:rPr>
                <w:b w:val="0"/>
                <w:i w:val="0"/>
                <w:sz w:val="18"/>
              </w:rPr>
              <w:t>9.27536e-06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G12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2.98755</w:t>
            </w:r>
          </w:p>
        </w:tc>
        <w:tc>
          <w:tcPr>
            <w:tcW w:type="dxa" w:w="1632"/>
            <w:vAlign w:val="center"/>
            <w:shd w:fill="FFFFFF"/>
          </w:tcPr>
          <w:p>
            <w:pPr>
              <w:spacing w:after="100" w:before="100"/>
            </w:pPr>
            <w:r>
              <w:rPr>
                <w:b w:val="0"/>
                <w:i w:val="0"/>
                <w:sz w:val="18"/>
              </w:rPr>
              <w:t>2.987552</w:t>
            </w:r>
          </w:p>
        </w:tc>
        <w:tc>
          <w:tcPr>
            <w:tcW w:type="dxa" w:w="1632"/>
            <w:vAlign w:val="center"/>
            <w:shd w:fill="FFFFFF"/>
          </w:tcPr>
          <w:p>
            <w:pPr>
              <w:spacing w:after="100" w:before="100"/>
            </w:pPr>
            <w:r>
              <w:rPr>
                <w:b w:val="0"/>
                <w:i w:val="0"/>
                <w:sz w:val="18"/>
              </w:rPr>
              <w:t>-0.0000625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ν12</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81">
        <w:r>
          <w:rPr>
            <w:color w:val="176EA4"/>
          </w:rPr>
          <w:t>MIT / David Roylance — Introduction to Composites </w:t>
        </w:r>
      </w:hyperlink>
      <w:r>
        <w:t xml:space="preserve"> </w:t>
      </w:r>
      <w:r>
        <w:rPr>
          <w:b w:val="0"/>
          <w:i w:val="0"/>
        </w:rPr>
        <w:t>Equations 1–3, printed pages 3–4</w:t>
      </w:r>
      <w:r>
        <w:rPr>
          <w:b w:val="0"/>
          <w:i w:val="0"/>
        </w:rPr>
        <w:t xml:space="preserve"> </w:t>
      </w:r>
      <w:r>
        <w:rPr>
          <w:b w:val="0"/>
          <w:i w:val="0"/>
        </w:rPr>
        <w:t xml:space="preserve">. </w:t>
      </w:r>
      <w:r>
        <w:rPr>
          <w:b w:val="0"/>
          <w:i w:val="0"/>
        </w:rPr>
        <w:t xml:space="preserve"> </w:t>
      </w:r>
      <w:r>
        <w:rPr>
          <w:b w:val="0"/>
          <w:i w:val="0"/>
        </w:rPr>
        <w:t>Published analytical equations; not experimental material validation.</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Reference-state elastic laminate comparison; different ply sources and thicknesses are intentional. Representative properties are not qualified allowables.</w:t>
      </w:r>
    </w:p>
    <w:p>
      <w:pPr/>
      <w:hyperlink r:id="rId112">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09 · Three-point bend · deflection</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Central-load beam deflection and shear, conditional on the reported effective Ex. Material elasticity, ply stress and failure not validated.</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Maximum deflection</w:t>
            </w:r>
            <w:r>
              <w:rPr>
                <w:b w:val="0"/>
                <w:i w:val="0"/>
                <w:sz w:val="18"/>
              </w:rPr>
              <w:t xml:space="preserve"> </w:t>
            </w:r>
            <w:r>
              <w:rPr>
                <w:b w:val="0"/>
                <w:i w:val="0"/>
                <w:sz w:val="18"/>
              </w:rPr>
              <w:t xml:space="preserve"> (</w:t>
            </w:r>
            <w:r>
              <w:rPr>
                <w:b w:val="0"/>
                <w:i w:val="0"/>
                <w:sz w:val="18"/>
              </w:rPr>
              <w:t xml:space="preserve"> </w:t>
            </w:r>
            <w:r>
              <w:rPr>
                <w:b w:val="0"/>
                <w:i w:val="0"/>
                <w:sz w:val="18"/>
              </w:rPr>
              <w:t>mm</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1.213667</w:t>
            </w:r>
          </w:p>
        </w:tc>
        <w:tc>
          <w:tcPr>
            <w:tcW w:type="dxa" w:w="1632"/>
            <w:vAlign w:val="center"/>
            <w:shd w:fill="FFFFFF"/>
          </w:tcPr>
          <w:p>
            <w:pPr>
              <w:spacing w:after="100" w:before="100"/>
            </w:pPr>
            <w:r>
              <w:rPr>
                <w:b w:val="0"/>
                <w:i w:val="0"/>
                <w:sz w:val="18"/>
              </w:rPr>
              <w:t>1.213667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0.05</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mm</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Maximum shear</w:t>
            </w:r>
            <w:r>
              <w:rPr>
                <w:b w:val="0"/>
                <w:i w:val="0"/>
                <w:sz w:val="18"/>
              </w:rPr>
              <w:t xml:space="preserve"> </w:t>
            </w:r>
            <w:r>
              <w:rPr>
                <w:b w:val="0"/>
                <w:i w:val="0"/>
                <w:sz w:val="18"/>
              </w:rPr>
              <w:t xml:space="preserve"> (</w:t>
            </w:r>
            <w:r>
              <w:rPr>
                <w:b w:val="0"/>
                <w:i w:val="0"/>
                <w:sz w:val="18"/>
              </w:rPr>
              <w:t xml:space="preserve"> </w:t>
            </w:r>
            <w:r>
              <w:rPr>
                <w:b w:val="0"/>
                <w:i w:val="0"/>
                <w:sz w:val="18"/>
              </w:rPr>
              <w:t>N</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50</w:t>
            </w:r>
          </w:p>
        </w:tc>
        <w:tc>
          <w:tcPr>
            <w:tcW w:type="dxa" w:w="1632"/>
            <w:vAlign w:val="center"/>
            <w:shd w:fill="FFFFFF"/>
          </w:tcPr>
          <w:p>
            <w:pPr>
              <w:spacing w:after="100" w:before="100"/>
            </w:pPr>
            <w:r>
              <w:rPr>
                <w:b w:val="0"/>
                <w:i w:val="0"/>
                <w:sz w:val="18"/>
              </w:rPr>
              <w:t>50</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N</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86">
        <w:r>
          <w:rPr>
            <w:color w:val="176EA4"/>
          </w:rPr>
          <w:t>MIT / David Roylance — Beam Displacements </w:t>
        </w:r>
      </w:hyperlink>
      <w:r>
        <w:t xml:space="preserve"> </w:t>
      </w:r>
      <w:r>
        <w:rPr>
          <w:b w:val="0"/>
          <w:i w:val="0"/>
        </w:rPr>
        <w:t>Equation 7, printed page 3: central-load simply supported beam</w:t>
      </w:r>
      <w:r>
        <w:rPr>
          <w:b w:val="0"/>
          <w:i w:val="0"/>
        </w:rPr>
        <w:t xml:space="preserve"> </w:t>
      </w:r>
      <w:r>
        <w:rPr>
          <w:b w:val="0"/>
          <w:i w:val="0"/>
        </w:rPr>
        <w:t xml:space="preserve">. </w:t>
      </w:r>
      <w:r>
        <w:rPr>
          <w:b w:val="0"/>
          <w:i w:val="0"/>
        </w:rPr>
        <w:t xml:space="preserve"> </w:t>
      </w:r>
      <w:r>
        <w:rPr>
          <w:b w:val="0"/>
          <w:i w:val="0"/>
        </w:rPr>
        <w:t>Euler–Bernoulli analytical check; excludes shear, contact, damage and empirical stiffness validation.</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keepNext/>
      </w:pPr>
      <w:r>
        <w:rPr>
          <w:b/>
          <w:i w:val="0"/>
        </w:rPr>
        <w:t>Beam benchmark inputs</w:t>
      </w:r>
    </w:p>
    <w:p>
      <w:r>
        <w:t>Exact numerical inputs are retained in the linked validation evidence.</w:t>
      </w:r>
    </w:p>
    <w:p>
      <w:pPr>
        <w:pStyle w:val="ListBullet"/>
      </w:pPr>
      <w:r>
        <w:rPr>
          <w:b w:val="0"/>
          <w:i w:val="0"/>
        </w:rPr>
        <w:t>Procedure A teaching setup. Transverse shear deformation, roller contact and indentation are excluded.</w:t>
      </w:r>
    </w:p>
    <w:p>
      <w:pPr/>
      <w:hyperlink r:id="rId113">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10 · Cylinder · internal pressure</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Thin-wall pressure equilibrium and orthotropic biaxial strain comparison; stiffness inputs are conditional where Micro closure has not been verified.</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Nonzero-void closure has no matched published calibration in this study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Hoop stress</w:t>
            </w:r>
            <w:r>
              <w:rPr>
                <w:b w:val="0"/>
                <w:i w:val="0"/>
                <w:sz w:val="18"/>
              </w:rPr>
              <w:t xml:space="preserve"> </w:t>
            </w:r>
            <w:r>
              <w:rPr>
                <w:b w:val="0"/>
                <w:i w:val="0"/>
                <w:sz w:val="18"/>
              </w:rPr>
              <w:t xml:space="preserve"> (</w:t>
            </w:r>
            <w:r>
              <w:rPr>
                <w:b w:val="0"/>
                <w:i w:val="0"/>
                <w:sz w:val="18"/>
              </w:rPr>
              <w:t xml:space="preserve"> </w:t>
            </w:r>
            <w:r>
              <w:rPr>
                <w:b w:val="0"/>
                <w:i w:val="0"/>
                <w:sz w:val="18"/>
              </w:rPr>
              <w:t>MPa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56.4</w:t>
            </w:r>
          </w:p>
        </w:tc>
        <w:tc>
          <w:tcPr>
            <w:tcW w:type="dxa" w:w="1632"/>
            <w:vAlign w:val="center"/>
            <w:shd w:fill="FFFFFF"/>
          </w:tcPr>
          <w:p>
            <w:pPr>
              <w:spacing w:after="100" w:before="100"/>
            </w:pPr>
            <w:r>
              <w:rPr>
                <w:b w:val="0"/>
                <w:i w:val="0"/>
                <w:sz w:val="18"/>
              </w:rPr>
              <w:t>56.4</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MPa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Axial stress</w:t>
            </w:r>
            <w:r>
              <w:rPr>
                <w:b w:val="0"/>
                <w:i w:val="0"/>
                <w:sz w:val="18"/>
              </w:rPr>
              <w:t xml:space="preserve"> </w:t>
            </w:r>
            <w:r>
              <w:rPr>
                <w:b w:val="0"/>
                <w:i w:val="0"/>
                <w:sz w:val="18"/>
              </w:rPr>
              <w:t xml:space="preserve"> (</w:t>
            </w:r>
            <w:r>
              <w:rPr>
                <w:b w:val="0"/>
                <w:i w:val="0"/>
                <w:sz w:val="18"/>
              </w:rPr>
              <w:t xml:space="preserve"> </w:t>
            </w:r>
            <w:r>
              <w:rPr>
                <w:b w:val="0"/>
                <w:i w:val="0"/>
                <w:sz w:val="18"/>
              </w:rPr>
              <w:t>MPa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28.2</w:t>
            </w:r>
          </w:p>
        </w:tc>
        <w:tc>
          <w:tcPr>
            <w:tcW w:type="dxa" w:w="1632"/>
            <w:vAlign w:val="center"/>
            <w:shd w:fill="FFFFFF"/>
          </w:tcPr>
          <w:p>
            <w:pPr>
              <w:spacing w:after="100" w:before="100"/>
            </w:pPr>
            <w:r>
              <w:rPr>
                <w:b w:val="0"/>
                <w:i w:val="0"/>
                <w:sz w:val="18"/>
              </w:rPr>
              <w:t>28.2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MPa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Hoop strain including Poisson coupling</w:t>
            </w:r>
            <w:r>
              <w:rPr>
                <w:b w:val="0"/>
                <w:i w:val="0"/>
                <w:sz w:val="18"/>
              </w:rPr>
              <w:t xml:space="preserve"> </w:t>
            </w:r>
            <w:r>
              <w:rPr>
                <w:b w:val="0"/>
                <w:i w:val="0"/>
                <w:sz w:val="18"/>
              </w:rPr>
              <w:t xml:space="preserve"> (</w:t>
            </w:r>
            <w:r>
              <w:rPr>
                <w:b w:val="0"/>
                <w:i w:val="0"/>
                <w:sz w:val="18"/>
              </w:rPr>
              <w:t xml:space="preserve"> </w:t>
            </w:r>
            <w:r>
              <w:rPr>
                <w:b w:val="0"/>
                <w:i w:val="0"/>
                <w:sz w:val="18"/>
              </w:rPr>
              <w:t>µε</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755.3712</w:t>
            </w:r>
          </w:p>
        </w:tc>
        <w:tc>
          <w:tcPr>
            <w:tcW w:type="dxa" w:w="1632"/>
            <w:vAlign w:val="center"/>
            <w:shd w:fill="FFFFFF"/>
          </w:tcPr>
          <w:p>
            <w:pPr>
              <w:spacing w:after="100" w:before="100"/>
            </w:pPr>
            <w:r>
              <w:rPr>
                <w:b w:val="0"/>
                <w:i w:val="0"/>
                <w:sz w:val="18"/>
              </w:rPr>
              <w:t>755.3698</w:t>
            </w:r>
          </w:p>
        </w:tc>
        <w:tc>
          <w:tcPr>
            <w:tcW w:type="dxa" w:w="1632"/>
            <w:vAlign w:val="center"/>
            <w:shd w:fill="FFFFFF"/>
          </w:tcPr>
          <w:p>
            <w:pPr>
              <w:spacing w:after="100" w:before="100"/>
            </w:pPr>
            <w:r>
              <w:rPr>
                <w:b w:val="0"/>
                <w:i w:val="0"/>
                <w:sz w:val="18"/>
              </w:rPr>
              <w:t>0.000182403</w:t>
            </w:r>
          </w:p>
        </w:tc>
        <w:tc>
          <w:tcPr>
            <w:tcW w:type="dxa" w:w="1632"/>
            <w:vAlign w:val="center"/>
            <w:shd w:fill="FFFFFF"/>
          </w:tcPr>
          <w:p>
            <w:pPr>
              <w:spacing w:after="100" w:before="100"/>
            </w:pPr>
            <w:r>
              <w:rPr>
                <w:b w:val="0"/>
                <w:i w:val="0"/>
                <w:sz w:val="18"/>
              </w:rPr>
              <w:t>0.05</w:t>
            </w:r>
            <w:r>
              <w:rPr>
                <w:b w:val="0"/>
                <w:i w:val="0"/>
                <w:sz w:val="18"/>
              </w:rPr>
              <w:t xml:space="preserve"> </w:t>
            </w:r>
            <w:r>
              <w:rPr>
                <w:b w:val="0"/>
                <w:i w:val="0"/>
                <w:sz w:val="18"/>
              </w:rPr>
              <w:t xml:space="preserve">% + </w:t>
            </w:r>
            <w:r>
              <w:rPr>
                <w:b w:val="0"/>
                <w:i w:val="0"/>
                <w:sz w:val="18"/>
              </w:rPr>
              <w:t xml:space="preserve"> </w:t>
            </w:r>
            <w:r>
              <w:rPr>
                <w:b w:val="0"/>
                <w:i w:val="0"/>
                <w:sz w:val="18"/>
              </w:rPr>
              <w:t>0.01</w:t>
            </w:r>
            <w:r>
              <w:rPr>
                <w:b w:val="0"/>
                <w:i w:val="0"/>
                <w:sz w:val="18"/>
              </w:rPr>
              <w:t xml:space="preserve"> </w:t>
            </w:r>
            <w:r>
              <w:rPr>
                <w:b w:val="0"/>
                <w:i w:val="0"/>
                <w:sz w:val="18"/>
              </w:rPr>
              <w:t xml:space="preserve"> </w:t>
            </w:r>
            <w:r>
              <w:rPr>
                <w:b w:val="0"/>
                <w:i w:val="0"/>
                <w:sz w:val="18"/>
              </w:rPr>
              <w:t xml:space="preserve"> </w:t>
            </w:r>
            <w:r>
              <w:rPr>
                <w:b w:val="0"/>
                <w:i w:val="0"/>
                <w:sz w:val="18"/>
              </w:rPr>
              <w:t>µε</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Axial strain including Poisson coupling</w:t>
            </w:r>
            <w:r>
              <w:rPr>
                <w:b w:val="0"/>
                <w:i w:val="0"/>
                <w:sz w:val="18"/>
              </w:rPr>
              <w:t xml:space="preserve"> </w:t>
            </w:r>
            <w:r>
              <w:rPr>
                <w:b w:val="0"/>
                <w:i w:val="0"/>
                <w:sz w:val="18"/>
              </w:rPr>
              <w:t xml:space="preserve"> (</w:t>
            </w:r>
            <w:r>
              <w:rPr>
                <w:b w:val="0"/>
                <w:i w:val="0"/>
                <w:sz w:val="18"/>
              </w:rPr>
              <w:t xml:space="preserve"> </w:t>
            </w:r>
            <w:r>
              <w:rPr>
                <w:b w:val="0"/>
                <w:i w:val="0"/>
                <w:sz w:val="18"/>
              </w:rPr>
              <w:t>µε</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246.3161</w:t>
            </w:r>
          </w:p>
        </w:tc>
        <w:tc>
          <w:tcPr>
            <w:tcW w:type="dxa" w:w="1632"/>
            <w:vAlign w:val="center"/>
            <w:shd w:fill="FFFFFF"/>
          </w:tcPr>
          <w:p>
            <w:pPr>
              <w:spacing w:after="100" w:before="100"/>
            </w:pPr>
            <w:r>
              <w:rPr>
                <w:b w:val="0"/>
                <w:i w:val="0"/>
                <w:sz w:val="18"/>
              </w:rPr>
              <w:t>246.3132</w:t>
            </w:r>
          </w:p>
        </w:tc>
        <w:tc>
          <w:tcPr>
            <w:tcW w:type="dxa" w:w="1632"/>
            <w:vAlign w:val="center"/>
            <w:shd w:fill="FFFFFF"/>
          </w:tcPr>
          <w:p>
            <w:pPr>
              <w:spacing w:after="100" w:before="100"/>
            </w:pPr>
            <w:r>
              <w:rPr>
                <w:b w:val="0"/>
                <w:i w:val="0"/>
                <w:sz w:val="18"/>
              </w:rPr>
              <w:t>0.00114902</w:t>
            </w:r>
          </w:p>
        </w:tc>
        <w:tc>
          <w:tcPr>
            <w:tcW w:type="dxa" w:w="1632"/>
            <w:vAlign w:val="center"/>
            <w:shd w:fill="FFFFFF"/>
          </w:tcPr>
          <w:p>
            <w:pPr>
              <w:spacing w:after="100" w:before="100"/>
            </w:pPr>
            <w:r>
              <w:rPr>
                <w:b w:val="0"/>
                <w:i w:val="0"/>
                <w:sz w:val="18"/>
              </w:rPr>
              <w:t>0.05</w:t>
            </w:r>
            <w:r>
              <w:rPr>
                <w:b w:val="0"/>
                <w:i w:val="0"/>
                <w:sz w:val="18"/>
              </w:rPr>
              <w:t xml:space="preserve"> </w:t>
            </w:r>
            <w:r>
              <w:rPr>
                <w:b w:val="0"/>
                <w:i w:val="0"/>
                <w:sz w:val="18"/>
              </w:rPr>
              <w:t xml:space="preserve">% + </w:t>
            </w:r>
            <w:r>
              <w:rPr>
                <w:b w:val="0"/>
                <w:i w:val="0"/>
                <w:sz w:val="18"/>
              </w:rPr>
              <w:t xml:space="preserve"> </w:t>
            </w:r>
            <w:r>
              <w:rPr>
                <w:b w:val="0"/>
                <w:i w:val="0"/>
                <w:sz w:val="18"/>
              </w:rPr>
              <w:t>0.01</w:t>
            </w:r>
            <w:r>
              <w:rPr>
                <w:b w:val="0"/>
                <w:i w:val="0"/>
                <w:sz w:val="18"/>
              </w:rPr>
              <w:t xml:space="preserve"> </w:t>
            </w:r>
            <w:r>
              <w:rPr>
                <w:b w:val="0"/>
                <w:i w:val="0"/>
                <w:sz w:val="18"/>
              </w:rPr>
              <w:t xml:space="preserve"> </w:t>
            </w:r>
            <w:r>
              <w:rPr>
                <w:b w:val="0"/>
                <w:i w:val="0"/>
                <w:sz w:val="18"/>
              </w:rPr>
              <w:t xml:space="preserve"> </w:t>
            </w:r>
            <w:r>
              <w:rPr>
                <w:b w:val="0"/>
                <w:i w:val="0"/>
                <w:sz w:val="18"/>
              </w:rPr>
              <w:t>µε</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8">
        <w:r>
          <w:rPr>
            <w:color w:val="176EA4"/>
          </w:rPr>
          <w:t>MIT / David Roylance — Pressure Vessels </w:t>
        </w:r>
      </w:hyperlink>
      <w:r>
        <w:t xml:space="preserve"> </w:t>
      </w:r>
      <w:r>
        <w:rPr>
          <w:b w:val="0"/>
          <w:i w:val="0"/>
        </w:rPr>
        <w:t>Equations 2–3, printed page 3; orthotropic strain compliance from laminated plates reference</w:t>
      </w:r>
      <w:r>
        <w:rPr>
          <w:b w:val="0"/>
          <w:i w:val="0"/>
        </w:rPr>
        <w:t xml:space="preserve"> </w:t>
      </w:r>
      <w:r>
        <w:rPr>
          <w:b w:val="0"/>
          <w:i w:val="0"/>
        </w:rPr>
        <w:t xml:space="preserve">. </w:t>
      </w:r>
      <w:r>
        <w:rPr>
          <w:b w:val="0"/>
          <w:i w:val="0"/>
        </w:rPr>
        <w:t xml:space="preserve"> </w:t>
      </w:r>
      <w:r>
        <w:rPr>
          <w:b w:val="0"/>
          <w:i w:val="0"/>
        </w:rPr>
        <w:t>Thin-wall, closed-end pristine cylinder. No slit, fracture or failure-pressure validation.</w:t>
      </w:r>
      <w:r>
        <w:t xml:space="preserve"> </w:t>
      </w: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Pressure reference inputs</w:t>
      </w:r>
    </w:p>
    <w:p>
      <w:r>
        <w:t>Exact numerical inputs are retained in the linked validation evidence.</w:t>
      </w:r>
    </w:p>
    <w:p>
      <w:pPr>
        <w:pStyle w:val="ListBullet"/>
      </w:pPr>
      <w:r>
        <w:rPr>
          <w:b w:val="0"/>
          <w:i w:val="0"/>
        </w:rPr>
        <w:t>Thin-wall membrane theory: no through-wall radial stress profile or local end effects.</w:t>
      </w:r>
    </w:p>
    <w:p>
      <w:pPr/>
      <w:hyperlink r:id="rId114">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11 · Lap joint · two adherends and adhesive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Perfectly bonded linear-elastic interfaces. Mesh-sensitive edge peaks are not joint strength, debonding or damage predictions.</w:t>
      </w:r>
    </w:p>
    <w:p>
      <w:pPr/>
      <w:hyperlink r:id="rId115">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12 · Sandwich bend · skins, core and bond screening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Illustrative strengths only. Local peel and mixed-mode bond growth are not assessed. Completion is not an overall sandwich pass.</w:t>
      </w:r>
    </w:p>
    <w:p>
      <w:pPr/>
      <w:hyperlink r:id="rId116">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13 · Thermal cycle · surface/core lag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One-dimensional through-thickness transport; lateral heat loss and oven airflow are not resolved. Inspect linked cure settings before interpreting reaction heating.</w:t>
      </w:r>
    </w:p>
    <w:p>
      <w:pPr/>
      <w:hyperlink r:id="rId117">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14 · Moisture conditioning · diffusion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One-dimensional Fickian transport with the selected constitutive inputs, not a prediction of chemical degradation.</w:t>
      </w:r>
    </w:p>
    <w:p>
      <w:pPr/>
      <w:hyperlink r:id="rId118">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15 · Pultrusion · multi-zone die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teaching process using existing T700/epoxy laminate properties and illustrative cure parameters, not a calibrated pultrusion recipe. Constant-speed moving section; no axial conduction, impregnation, leakage, die thermal mass or pulling-force prediction. Use Thermal Run, not batch-cycle optimization.</w:t>
      </w:r>
    </w:p>
    <w:p>
      <w:pPr/>
      <w:hyperlink r:id="rId119">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16 · UV cure · penetration and exotherm</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UV-compatible teaching composite: inherited T700/epoxy elastic and transport values do not establish commercial resin UV compatibility or carbon-composite transparency. Effective optics, kinetics and enthalpy require calibration. No oxygen transport, shadowing, multiple scattering or radical dark cure. Use Run, not UV process optimization.</w:t>
      </w:r>
    </w:p>
    <w:p>
      <w:pPr/>
      <w:hyperlink r:id="rId120">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17 · Moisture expansion + structural load</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Use the solver’s reported coupling state and limits. Do not assume this constitutes a general 3D coupled finite-element model or a calibrated cure-residual-stress prediction.</w:t>
      </w:r>
    </w:p>
    <w:p>
      <w:pPr/>
      <w:hyperlink r:id="rId121">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18 · Mixed Micro recipes · cure + structural response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Use the solver’s reported coupling state and limits. Do not assume this constitutes a general 3D coupled finite-element model or a calibrated cure-residual-stress prediction.</w:t>
      </w:r>
    </w:p>
    <w:p>
      <w:pPr/>
      <w:hyperlink r:id="rId122">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19 · Cure + thermal + moisture + structural</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Use the solver’s reported coupling state and limits. Do not assume this constitutes a general 3D coupled finite-element model or a calibrated cure-residual-stress prediction.</w:t>
      </w:r>
    </w:p>
    <w:p>
      <w:pPr/>
      <w:hyperlink r:id="rId123">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20 · Coupled ply damage + delamination growth</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Mechanical-only x-z reference-state demonstration coupling cohesive interfaces and in-plane ply damage. No thermal/moisture residual loading, out-of-plane ply failure or full 3D validation. Assumed teaching strengths and fracture energies; never a design certification.</w:t>
      </w:r>
    </w:p>
    <w:p>
      <w:pPr/>
      <w:hyperlink r:id="rId124">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T700S / 180C Epoxy UD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134</w:t>
            </w:r>
          </w:p>
        </w:tc>
        <w:tc>
          <w:tcPr>
            <w:tcW w:type="dxa" w:w="1632"/>
            <w:vAlign w:val="center"/>
            <w:shd w:fill="FFFFFF"/>
          </w:tcPr>
          <w:p>
            <w:pPr>
              <w:spacing w:after="100" w:before="100"/>
            </w:pPr>
            <w:r>
              <w:rPr>
                <w:b w:val="0"/>
                <w:i w:val="0"/>
                <w:sz w:val="18"/>
              </w:rPr>
              <w:t>134</w:t>
            </w:r>
          </w:p>
        </w:tc>
        <w:tc>
          <w:tcPr>
            <w:tcW w:type="dxa" w:w="1632"/>
            <w:vAlign w:val="center"/>
            <w:shd w:fill="FFFFFF"/>
          </w:tcPr>
          <w:p>
            <w:pPr>
              <w:spacing w:after="100" w:before="100"/>
            </w:pPr>
            <w:r>
              <w:rPr>
                <w:b w:val="0"/>
                <w:i w:val="0"/>
                <w:sz w:val="18"/>
              </w:rPr>
              <w:t>-2.12102e-14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8.8</w:t>
            </w:r>
          </w:p>
        </w:tc>
        <w:tc>
          <w:tcPr>
            <w:tcW w:type="dxa" w:w="1632"/>
            <w:vAlign w:val="center"/>
            <w:shd w:fill="FFFFFF"/>
          </w:tcPr>
          <w:p>
            <w:pPr>
              <w:spacing w:after="100" w:before="100"/>
            </w:pPr>
            <w:r>
              <w:rPr>
                <w:b w:val="0"/>
                <w:i w:val="0"/>
                <w:sz w:val="18"/>
              </w:rPr>
              <w:t>8.8</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4.8</w:t>
            </w:r>
          </w:p>
        </w:tc>
        <w:tc>
          <w:tcPr>
            <w:tcW w:type="dxa" w:w="1632"/>
            <w:vAlign w:val="center"/>
            <w:shd w:fill="FFFFFF"/>
          </w:tcPr>
          <w:p>
            <w:pPr>
              <w:spacing w:after="100" w:before="100"/>
            </w:pPr>
            <w:r>
              <w:rPr>
                <w:b w:val="0"/>
                <w:i w:val="0"/>
                <w:sz w:val="18"/>
              </w:rPr>
              <w:t>4.8</w:t>
            </w:r>
          </w:p>
        </w:tc>
        <w:tc>
          <w:tcPr>
            <w:tcW w:type="dxa" w:w="1632"/>
            <w:vAlign w:val="center"/>
            <w:shd w:fill="FFFFFF"/>
          </w:tcPr>
          <w:p>
            <w:pPr>
              <w:spacing w:after="100" w:before="100"/>
            </w:pPr>
            <w:r>
              <w:rPr>
                <w:b w:val="0"/>
                <w:i w:val="0"/>
                <w:sz w:val="18"/>
              </w:rPr>
              <w:t>-1.85037e-14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25">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IM7 / Toughened Epoxy UD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165</w:t>
            </w:r>
          </w:p>
        </w:tc>
        <w:tc>
          <w:tcPr>
            <w:tcW w:type="dxa" w:w="1632"/>
            <w:vAlign w:val="center"/>
            <w:shd w:fill="FFFFFF"/>
          </w:tcPr>
          <w:p>
            <w:pPr>
              <w:spacing w:after="100" w:before="100"/>
            </w:pPr>
            <w:r>
              <w:rPr>
                <w:b w:val="0"/>
                <w:i w:val="0"/>
                <w:sz w:val="18"/>
              </w:rPr>
              <w:t>165</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9</w:t>
            </w:r>
          </w:p>
        </w:tc>
        <w:tc>
          <w:tcPr>
            <w:tcW w:type="dxa" w:w="1632"/>
            <w:vAlign w:val="center"/>
            <w:shd w:fill="FFFFFF"/>
          </w:tcPr>
          <w:p>
            <w:pPr>
              <w:spacing w:after="100" w:before="100"/>
            </w:pPr>
            <w:r>
              <w:rPr>
                <w:b w:val="0"/>
                <w:i w:val="0"/>
                <w:sz w:val="18"/>
              </w:rPr>
              <w:t>9</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5.2</w:t>
            </w:r>
          </w:p>
        </w:tc>
        <w:tc>
          <w:tcPr>
            <w:tcW w:type="dxa" w:w="1632"/>
            <w:vAlign w:val="center"/>
            <w:shd w:fill="FFFFFF"/>
          </w:tcPr>
          <w:p>
            <w:pPr>
              <w:spacing w:after="100" w:before="100"/>
            </w:pPr>
            <w:r>
              <w:rPr>
                <w:b w:val="0"/>
                <w:i w:val="0"/>
                <w:sz w:val="18"/>
              </w:rPr>
              <w:t>5.2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0.32</w:t>
            </w:r>
          </w:p>
        </w:tc>
        <w:tc>
          <w:tcPr>
            <w:tcW w:type="dxa" w:w="1632"/>
            <w:vAlign w:val="center"/>
            <w:shd w:fill="FFFFFF"/>
          </w:tcPr>
          <w:p>
            <w:pPr>
              <w:spacing w:after="100" w:before="100"/>
            </w:pPr>
            <w:r>
              <w:rPr>
                <w:b w:val="0"/>
                <w:i w:val="0"/>
                <w:sz w:val="18"/>
              </w:rPr>
              <w:t>0.32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26">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T800S / BMI UD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172</w:t>
            </w:r>
          </w:p>
        </w:tc>
        <w:tc>
          <w:tcPr>
            <w:tcW w:type="dxa" w:w="1632"/>
            <w:vAlign w:val="center"/>
            <w:shd w:fill="FFFFFF"/>
          </w:tcPr>
          <w:p>
            <w:pPr>
              <w:spacing w:after="100" w:before="100"/>
            </w:pPr>
            <w:r>
              <w:rPr>
                <w:b w:val="0"/>
                <w:i w:val="0"/>
                <w:sz w:val="18"/>
              </w:rPr>
              <w:t>172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9.8</w:t>
            </w:r>
          </w:p>
        </w:tc>
        <w:tc>
          <w:tcPr>
            <w:tcW w:type="dxa" w:w="1632"/>
            <w:vAlign w:val="center"/>
            <w:shd w:fill="FFFFFF"/>
          </w:tcPr>
          <w:p>
            <w:pPr>
              <w:spacing w:after="100" w:before="100"/>
            </w:pPr>
            <w:r>
              <w:rPr>
                <w:b w:val="0"/>
                <w:i w:val="0"/>
                <w:sz w:val="18"/>
              </w:rPr>
              <w:t>9.8</w:t>
            </w:r>
          </w:p>
        </w:tc>
        <w:tc>
          <w:tcPr>
            <w:tcW w:type="dxa" w:w="1632"/>
            <w:vAlign w:val="center"/>
            <w:shd w:fill="FFFFFF"/>
          </w:tcPr>
          <w:p>
            <w:pPr>
              <w:spacing w:after="100" w:before="100"/>
            </w:pPr>
            <w:r>
              <w:rPr>
                <w:b w:val="0"/>
                <w:i w:val="0"/>
                <w:sz w:val="18"/>
              </w:rPr>
              <w:t>1.81261e-14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5.6</w:t>
            </w:r>
          </w:p>
        </w:tc>
        <w:tc>
          <w:tcPr>
            <w:tcW w:type="dxa" w:w="1632"/>
            <w:vAlign w:val="center"/>
            <w:shd w:fill="FFFFFF"/>
          </w:tcPr>
          <w:p>
            <w:pPr>
              <w:spacing w:after="100" w:before="100"/>
            </w:pPr>
            <w:r>
              <w:rPr>
                <w:b w:val="0"/>
                <w:i w:val="0"/>
                <w:sz w:val="18"/>
              </w:rPr>
              <w:t>5.6</w:t>
            </w:r>
          </w:p>
        </w:tc>
        <w:tc>
          <w:tcPr>
            <w:tcW w:type="dxa" w:w="1632"/>
            <w:vAlign w:val="center"/>
            <w:shd w:fill="FFFFFF"/>
          </w:tcPr>
          <w:p>
            <w:pPr>
              <w:spacing w:after="100" w:before="100"/>
            </w:pPr>
            <w:r>
              <w:rPr>
                <w:b w:val="0"/>
                <w:i w:val="0"/>
                <w:sz w:val="18"/>
              </w:rPr>
              <w:t>-1.58603e-14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27">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AS4 / PEEK UD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142</w:t>
            </w:r>
          </w:p>
        </w:tc>
        <w:tc>
          <w:tcPr>
            <w:tcW w:type="dxa" w:w="1632"/>
            <w:vAlign w:val="center"/>
            <w:shd w:fill="FFFFFF"/>
          </w:tcPr>
          <w:p>
            <w:pPr>
              <w:spacing w:after="100" w:before="100"/>
            </w:pPr>
            <w:r>
              <w:rPr>
                <w:b w:val="0"/>
                <w:i w:val="0"/>
                <w:sz w:val="18"/>
              </w:rPr>
              <w:t>142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10</w:t>
            </w:r>
          </w:p>
        </w:tc>
        <w:tc>
          <w:tcPr>
            <w:tcW w:type="dxa" w:w="1632"/>
            <w:vAlign w:val="center"/>
            <w:shd w:fill="FFFFFF"/>
          </w:tcPr>
          <w:p>
            <w:pPr>
              <w:spacing w:after="100" w:before="100"/>
            </w:pPr>
            <w:r>
              <w:rPr>
                <w:b w:val="0"/>
                <w:i w:val="0"/>
                <w:sz w:val="18"/>
              </w:rPr>
              <w:t>10</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w:t>
            </w:r>
          </w:p>
        </w:tc>
        <w:tc>
          <w:tcPr>
            <w:tcW w:type="dxa" w:w="1632"/>
            <w:vAlign w:val="center"/>
            <w:shd w:fill="FFFFFF"/>
          </w:tcPr>
          <w:p>
            <w:pPr>
              <w:spacing w:after="100" w:before="100"/>
            </w:pPr>
            <w:r>
              <w:rPr>
                <w:b w:val="0"/>
                <w:i w:val="0"/>
                <w:sz w:val="18"/>
              </w:rPr>
              <w:t>5.5</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w:t>
            </w:r>
          </w:p>
        </w:tc>
        <w:tc>
          <w:tcPr>
            <w:tcW w:type="dxa" w:w="1632"/>
            <w:vAlign w:val="center"/>
            <w:shd w:fill="FFFFFF"/>
          </w:tcPr>
          <w:p>
            <w:pPr>
              <w:spacing w:after="100" w:before="100"/>
            </w:pPr>
            <w:r>
              <w:rPr>
                <w:b w:val="0"/>
                <w:i w:val="0"/>
                <w:sz w:val="18"/>
              </w:rPr>
              <w:t>0.3</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28">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T700/Epoxy Quasi-Isotropic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6.49425e-06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6.49425e-06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19.67704</w:t>
            </w:r>
          </w:p>
        </w:tc>
        <w:tc>
          <w:tcPr>
            <w:tcW w:type="dxa" w:w="1632"/>
            <w:vAlign w:val="center"/>
            <w:shd w:fill="FFFFFF"/>
          </w:tcPr>
          <w:p>
            <w:pPr>
              <w:spacing w:after="100" w:before="100"/>
            </w:pPr>
            <w:r>
              <w:rPr>
                <w:b w:val="0"/>
                <w:i w:val="0"/>
                <w:sz w:val="18"/>
              </w:rPr>
              <w:t>19.67704</w:t>
            </w:r>
          </w:p>
        </w:tc>
        <w:tc>
          <w:tcPr>
            <w:tcW w:type="dxa" w:w="1632"/>
            <w:vAlign w:val="center"/>
            <w:shd w:fill="FFFFFF"/>
          </w:tcPr>
          <w:p>
            <w:pPr>
              <w:spacing w:after="100" w:before="100"/>
            </w:pPr>
            <w:r>
              <w:rPr>
                <w:b w:val="0"/>
                <w:i w:val="0"/>
                <w:sz w:val="18"/>
              </w:rPr>
              <w:t>1.95724e-05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0.30929</w:t>
            </w:r>
          </w:p>
        </w:tc>
        <w:tc>
          <w:tcPr>
            <w:tcW w:type="dxa" w:w="1632"/>
            <w:vAlign w:val="center"/>
            <w:shd w:fill="FFFFFF"/>
          </w:tcPr>
          <w:p>
            <w:pPr>
              <w:spacing w:after="100" w:before="100"/>
            </w:pPr>
            <w:r>
              <w:rPr>
                <w:b w:val="0"/>
                <w:i w:val="0"/>
                <w:sz w:val="18"/>
              </w:rPr>
              <w:t>0.3092921</w:t>
            </w:r>
          </w:p>
        </w:tc>
        <w:tc>
          <w:tcPr>
            <w:tcW w:type="dxa" w:w="1632"/>
            <w:vAlign w:val="center"/>
            <w:shd w:fill="FFFFFF"/>
          </w:tcPr>
          <w:p>
            <w:pPr>
              <w:spacing w:after="100" w:before="100"/>
            </w:pPr>
            <w:r>
              <w:rPr>
                <w:b w:val="0"/>
                <w:i w:val="0"/>
                <w:sz w:val="18"/>
              </w:rPr>
              <w:t>-0.000684654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29">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IM7/Toughened Epoxy Bending-Optimized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82.81629</w:t>
            </w:r>
          </w:p>
        </w:tc>
        <w:tc>
          <w:tcPr>
            <w:tcW w:type="dxa" w:w="1632"/>
            <w:vAlign w:val="center"/>
            <w:shd w:fill="FFFFFF"/>
          </w:tcPr>
          <w:p>
            <w:pPr>
              <w:spacing w:after="100" w:before="100"/>
            </w:pPr>
            <w:r>
              <w:rPr>
                <w:b w:val="0"/>
                <w:i w:val="0"/>
                <w:sz w:val="18"/>
              </w:rPr>
              <w:t>82.81629</w:t>
            </w:r>
          </w:p>
        </w:tc>
        <w:tc>
          <w:tcPr>
            <w:tcW w:type="dxa" w:w="1632"/>
            <w:vAlign w:val="center"/>
            <w:shd w:fill="FFFFFF"/>
          </w:tcPr>
          <w:p>
            <w:pPr>
              <w:spacing w:after="100" w:before="100"/>
            </w:pPr>
            <w:r>
              <w:rPr>
                <w:b w:val="0"/>
                <w:i w:val="0"/>
                <w:sz w:val="18"/>
              </w:rPr>
              <w:t>7.06366e-07</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53.40213</w:t>
            </w:r>
          </w:p>
        </w:tc>
        <w:tc>
          <w:tcPr>
            <w:tcW w:type="dxa" w:w="1632"/>
            <w:vAlign w:val="center"/>
            <w:shd w:fill="FFFFFF"/>
          </w:tcPr>
          <w:p>
            <w:pPr>
              <w:spacing w:after="100" w:before="100"/>
            </w:pPr>
            <w:r>
              <w:rPr>
                <w:b w:val="0"/>
                <w:i w:val="0"/>
                <w:sz w:val="18"/>
              </w:rPr>
              <w:t>53.40213</w:t>
            </w:r>
          </w:p>
        </w:tc>
        <w:tc>
          <w:tcPr>
            <w:tcW w:type="dxa" w:w="1632"/>
            <w:vAlign w:val="center"/>
            <w:shd w:fill="FFFFFF"/>
          </w:tcPr>
          <w:p>
            <w:pPr>
              <w:spacing w:after="100" w:before="100"/>
            </w:pPr>
            <w:r>
              <w:rPr>
                <w:b w:val="0"/>
                <w:i w:val="0"/>
                <w:sz w:val="18"/>
              </w:rPr>
              <w:t>-9.24308e-06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20.0385</w:t>
            </w:r>
          </w:p>
        </w:tc>
        <w:tc>
          <w:tcPr>
            <w:tcW w:type="dxa" w:w="1632"/>
            <w:vAlign w:val="center"/>
            <w:shd w:fill="FFFFFF"/>
          </w:tcPr>
          <w:p>
            <w:pPr>
              <w:spacing w:after="100" w:before="100"/>
            </w:pPr>
            <w:r>
              <w:rPr>
                <w:b w:val="0"/>
                <w:i w:val="0"/>
                <w:sz w:val="18"/>
              </w:rPr>
              <w:t>20.0385</w:t>
            </w:r>
          </w:p>
        </w:tc>
        <w:tc>
          <w:tcPr>
            <w:tcW w:type="dxa" w:w="1632"/>
            <w:vAlign w:val="center"/>
            <w:shd w:fill="FFFFFF"/>
          </w:tcPr>
          <w:p>
            <w:pPr>
              <w:spacing w:after="100" w:before="100"/>
            </w:pPr>
            <w:r>
              <w:rPr>
                <w:b w:val="0"/>
                <w:i w:val="0"/>
                <w:sz w:val="18"/>
              </w:rPr>
              <w:t>1.24822e-05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0.31134</w:t>
            </w:r>
          </w:p>
        </w:tc>
        <w:tc>
          <w:tcPr>
            <w:tcW w:type="dxa" w:w="1632"/>
            <w:vAlign w:val="center"/>
            <w:shd w:fill="FFFFFF"/>
          </w:tcPr>
          <w:p>
            <w:pPr>
              <w:spacing w:after="100" w:before="100"/>
            </w:pPr>
            <w:r>
              <w:rPr>
                <w:b w:val="0"/>
                <w:i w:val="0"/>
                <w:sz w:val="18"/>
              </w:rPr>
              <w:t>0.3113392</w:t>
            </w:r>
          </w:p>
        </w:tc>
        <w:tc>
          <w:tcPr>
            <w:tcW w:type="dxa" w:w="1632"/>
            <w:vAlign w:val="center"/>
            <w:shd w:fill="FFFFFF"/>
          </w:tcPr>
          <w:p>
            <w:pPr>
              <w:spacing w:after="100" w:before="100"/>
            </w:pPr>
            <w:r>
              <w:rPr>
                <w:b w:val="0"/>
                <w:i w:val="0"/>
                <w:sz w:val="18"/>
              </w:rPr>
              <w:t>0.000250775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0">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T800/BMI Balanced Cylinder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65.19266</w:t>
            </w:r>
          </w:p>
        </w:tc>
        <w:tc>
          <w:tcPr>
            <w:tcW w:type="dxa" w:w="1632"/>
            <w:vAlign w:val="center"/>
            <w:shd w:fill="FFFFFF"/>
          </w:tcPr>
          <w:p>
            <w:pPr>
              <w:spacing w:after="100" w:before="100"/>
            </w:pPr>
            <w:r>
              <w:rPr>
                <w:b w:val="0"/>
                <w:i w:val="0"/>
                <w:sz w:val="18"/>
              </w:rPr>
              <w:t>65.19266</w:t>
            </w:r>
          </w:p>
        </w:tc>
        <w:tc>
          <w:tcPr>
            <w:tcW w:type="dxa" w:w="1632"/>
            <w:vAlign w:val="center"/>
            <w:shd w:fill="FFFFFF"/>
          </w:tcPr>
          <w:p>
            <w:pPr>
              <w:spacing w:after="100" w:before="100"/>
            </w:pPr>
            <w:r>
              <w:rPr>
                <w:b w:val="0"/>
                <w:i w:val="0"/>
                <w:sz w:val="18"/>
              </w:rPr>
              <w:t>-4.25901e-06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65.19266</w:t>
            </w:r>
          </w:p>
        </w:tc>
        <w:tc>
          <w:tcPr>
            <w:tcW w:type="dxa" w:w="1632"/>
            <w:vAlign w:val="center"/>
            <w:shd w:fill="FFFFFF"/>
          </w:tcPr>
          <w:p>
            <w:pPr>
              <w:spacing w:after="100" w:before="100"/>
            </w:pPr>
            <w:r>
              <w:rPr>
                <w:b w:val="0"/>
                <w:i w:val="0"/>
                <w:sz w:val="18"/>
              </w:rPr>
              <w:t>65.19266</w:t>
            </w:r>
          </w:p>
        </w:tc>
        <w:tc>
          <w:tcPr>
            <w:tcW w:type="dxa" w:w="1632"/>
            <w:vAlign w:val="center"/>
            <w:shd w:fill="FFFFFF"/>
          </w:tcPr>
          <w:p>
            <w:pPr>
              <w:spacing w:after="100" w:before="100"/>
            </w:pPr>
            <w:r>
              <w:rPr>
                <w:b w:val="0"/>
                <w:i w:val="0"/>
                <w:sz w:val="18"/>
              </w:rPr>
              <w:t>-4.25901e-06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24.88643</w:t>
            </w:r>
          </w:p>
        </w:tc>
        <w:tc>
          <w:tcPr>
            <w:tcW w:type="dxa" w:w="1632"/>
            <w:vAlign w:val="center"/>
            <w:shd w:fill="FFFFFF"/>
          </w:tcPr>
          <w:p>
            <w:pPr>
              <w:spacing w:after="100" w:before="100"/>
            </w:pPr>
            <w:r>
              <w:rPr>
                <w:b w:val="0"/>
                <w:i w:val="0"/>
                <w:sz w:val="18"/>
              </w:rPr>
              <w:t>24.88643</w:t>
            </w:r>
          </w:p>
        </w:tc>
        <w:tc>
          <w:tcPr>
            <w:tcW w:type="dxa" w:w="1632"/>
            <w:vAlign w:val="center"/>
            <w:shd w:fill="FFFFFF"/>
          </w:tcPr>
          <w:p>
            <w:pPr>
              <w:spacing w:after="100" w:before="100"/>
            </w:pPr>
            <w:r>
              <w:rPr>
                <w:b w:val="0"/>
                <w:i w:val="0"/>
                <w:sz w:val="18"/>
              </w:rPr>
              <w:t>-1.40484e-05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0.3098</w:t>
            </w:r>
          </w:p>
        </w:tc>
        <w:tc>
          <w:tcPr>
            <w:tcW w:type="dxa" w:w="1632"/>
            <w:vAlign w:val="center"/>
            <w:shd w:fill="FFFFFF"/>
          </w:tcPr>
          <w:p>
            <w:pPr>
              <w:spacing w:after="100" w:before="100"/>
            </w:pPr>
            <w:r>
              <w:rPr>
                <w:b w:val="0"/>
                <w:i w:val="0"/>
                <w:sz w:val="18"/>
              </w:rPr>
              <w:t>0.3098032</w:t>
            </w:r>
          </w:p>
        </w:tc>
        <w:tc>
          <w:tcPr>
            <w:tcW w:type="dxa" w:w="1632"/>
            <w:vAlign w:val="center"/>
            <w:shd w:fill="FFFFFF"/>
          </w:tcPr>
          <w:p>
            <w:pPr>
              <w:spacing w:after="100" w:before="100"/>
            </w:pPr>
            <w:r>
              <w:rPr>
                <w:b w:val="0"/>
                <w:i w:val="0"/>
                <w:sz w:val="18"/>
              </w:rPr>
              <w:t>-0.00104794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1">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AS4/PEEK Quasi-Isotropic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55.16287</w:t>
            </w:r>
          </w:p>
        </w:tc>
        <w:tc>
          <w:tcPr>
            <w:tcW w:type="dxa" w:w="1632"/>
            <w:vAlign w:val="center"/>
            <w:shd w:fill="FFFFFF"/>
          </w:tcPr>
          <w:p>
            <w:pPr>
              <w:spacing w:after="100" w:before="100"/>
            </w:pPr>
            <w:r>
              <w:rPr>
                <w:b w:val="0"/>
                <w:i w:val="0"/>
                <w:sz w:val="18"/>
              </w:rPr>
              <w:t>55.16287</w:t>
            </w:r>
          </w:p>
        </w:tc>
        <w:tc>
          <w:tcPr>
            <w:tcW w:type="dxa" w:w="1632"/>
            <w:vAlign w:val="center"/>
            <w:shd w:fill="FFFFFF"/>
          </w:tcPr>
          <w:p>
            <w:pPr>
              <w:spacing w:after="100" w:before="100"/>
            </w:pPr>
            <w:r>
              <w:rPr>
                <w:b w:val="0"/>
                <w:i w:val="0"/>
                <w:sz w:val="18"/>
              </w:rPr>
              <w:t>-3.16204e-06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55.16287</w:t>
            </w:r>
          </w:p>
        </w:tc>
        <w:tc>
          <w:tcPr>
            <w:tcW w:type="dxa" w:w="1632"/>
            <w:vAlign w:val="center"/>
            <w:shd w:fill="FFFFFF"/>
          </w:tcPr>
          <w:p>
            <w:pPr>
              <w:spacing w:after="100" w:before="100"/>
            </w:pPr>
            <w:r>
              <w:rPr>
                <w:b w:val="0"/>
                <w:i w:val="0"/>
                <w:sz w:val="18"/>
              </w:rPr>
              <w:t>55.16287</w:t>
            </w:r>
          </w:p>
        </w:tc>
        <w:tc>
          <w:tcPr>
            <w:tcW w:type="dxa" w:w="1632"/>
            <w:vAlign w:val="center"/>
            <w:shd w:fill="FFFFFF"/>
          </w:tcPr>
          <w:p>
            <w:pPr>
              <w:spacing w:after="100" w:before="100"/>
            </w:pPr>
            <w:r>
              <w:rPr>
                <w:b w:val="0"/>
                <w:i w:val="0"/>
                <w:sz w:val="18"/>
              </w:rPr>
              <w:t>-3.16204e-06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21.11641</w:t>
            </w:r>
          </w:p>
        </w:tc>
        <w:tc>
          <w:tcPr>
            <w:tcW w:type="dxa" w:w="1632"/>
            <w:vAlign w:val="center"/>
            <w:shd w:fill="FFFFFF"/>
          </w:tcPr>
          <w:p>
            <w:pPr>
              <w:spacing w:after="100" w:before="100"/>
            </w:pPr>
            <w:r>
              <w:rPr>
                <w:b w:val="0"/>
                <w:i w:val="0"/>
                <w:sz w:val="18"/>
              </w:rPr>
              <w:t>21.11641</w:t>
            </w:r>
          </w:p>
        </w:tc>
        <w:tc>
          <w:tcPr>
            <w:tcW w:type="dxa" w:w="1632"/>
            <w:vAlign w:val="center"/>
            <w:shd w:fill="FFFFFF"/>
          </w:tcPr>
          <w:p>
            <w:pPr>
              <w:spacing w:after="100" w:before="100"/>
            </w:pPr>
            <w:r>
              <w:rPr>
                <w:b w:val="0"/>
                <w:i w:val="0"/>
                <w:sz w:val="18"/>
              </w:rPr>
              <w:t>1.51366e-05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0.30616</w:t>
            </w:r>
          </w:p>
        </w:tc>
        <w:tc>
          <w:tcPr>
            <w:tcW w:type="dxa" w:w="1632"/>
            <w:vAlign w:val="center"/>
            <w:shd w:fill="FFFFFF"/>
          </w:tcPr>
          <w:p>
            <w:pPr>
              <w:spacing w:after="100" w:before="100"/>
            </w:pPr>
            <w:r>
              <w:rPr>
                <w:b w:val="0"/>
                <w:i w:val="0"/>
                <w:sz w:val="18"/>
              </w:rPr>
              <w:t>0.3061614</w:t>
            </w:r>
          </w:p>
        </w:tc>
        <w:tc>
          <w:tcPr>
            <w:tcW w:type="dxa" w:w="1632"/>
            <w:vAlign w:val="center"/>
            <w:shd w:fill="FFFFFF"/>
          </w:tcPr>
          <w:p>
            <w:pPr>
              <w:spacing w:after="100" w:before="100"/>
            </w:pPr>
            <w:r>
              <w:rPr>
                <w:b w:val="0"/>
                <w:i w:val="0"/>
                <w:sz w:val="18"/>
              </w:rPr>
              <w:t>-0.000463438</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2">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T800/BMI Hoop-Dominant Cylinder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55.95968</w:t>
            </w:r>
          </w:p>
        </w:tc>
        <w:tc>
          <w:tcPr>
            <w:tcW w:type="dxa" w:w="1632"/>
            <w:vAlign w:val="center"/>
            <w:shd w:fill="FFFFFF"/>
          </w:tcPr>
          <w:p>
            <w:pPr>
              <w:spacing w:after="100" w:before="100"/>
            </w:pPr>
            <w:r>
              <w:rPr>
                <w:b w:val="0"/>
                <w:i w:val="0"/>
                <w:sz w:val="18"/>
              </w:rPr>
              <w:t>55.95968</w:t>
            </w:r>
          </w:p>
        </w:tc>
        <w:tc>
          <w:tcPr>
            <w:tcW w:type="dxa" w:w="1632"/>
            <w:vAlign w:val="center"/>
            <w:shd w:fill="FFFFFF"/>
          </w:tcPr>
          <w:p>
            <w:pPr>
              <w:spacing w:after="100" w:before="100"/>
            </w:pPr>
            <w:r>
              <w:rPr>
                <w:b w:val="0"/>
                <w:i w:val="0"/>
                <w:sz w:val="18"/>
              </w:rPr>
              <w:t>1.22835e-06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86.55413</w:t>
            </w:r>
          </w:p>
        </w:tc>
        <w:tc>
          <w:tcPr>
            <w:tcW w:type="dxa" w:w="1632"/>
            <w:vAlign w:val="center"/>
            <w:shd w:fill="FFFFFF"/>
          </w:tcPr>
          <w:p>
            <w:pPr>
              <w:spacing w:after="100" w:before="100"/>
            </w:pPr>
            <w:r>
              <w:rPr>
                <w:b w:val="0"/>
                <w:i w:val="0"/>
                <w:sz w:val="18"/>
              </w:rPr>
              <w:t>86.55413</w:t>
            </w:r>
          </w:p>
        </w:tc>
        <w:tc>
          <w:tcPr>
            <w:tcW w:type="dxa" w:w="1632"/>
            <w:vAlign w:val="center"/>
            <w:shd w:fill="FFFFFF"/>
          </w:tcPr>
          <w:p>
            <w:pPr>
              <w:spacing w:after="100" w:before="100"/>
            </w:pPr>
            <w:r>
              <w:rPr>
                <w:b w:val="0"/>
                <w:i w:val="0"/>
                <w:sz w:val="18"/>
              </w:rPr>
              <w:t>-3.40854e-07</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21.02915</w:t>
            </w:r>
          </w:p>
        </w:tc>
        <w:tc>
          <w:tcPr>
            <w:tcW w:type="dxa" w:w="1632"/>
            <w:vAlign w:val="center"/>
            <w:shd w:fill="FFFFFF"/>
          </w:tcPr>
          <w:p>
            <w:pPr>
              <w:spacing w:after="100" w:before="100"/>
            </w:pPr>
            <w:r>
              <w:rPr>
                <w:b w:val="0"/>
                <w:i w:val="0"/>
                <w:sz w:val="18"/>
              </w:rPr>
              <w:t>21.02915</w:t>
            </w:r>
          </w:p>
        </w:tc>
        <w:tc>
          <w:tcPr>
            <w:tcW w:type="dxa" w:w="1632"/>
            <w:vAlign w:val="center"/>
            <w:shd w:fill="FFFFFF"/>
          </w:tcPr>
          <w:p>
            <w:pPr>
              <w:spacing w:after="100" w:before="100"/>
            </w:pPr>
            <w:r>
              <w:rPr>
                <w:b w:val="0"/>
                <w:i w:val="0"/>
                <w:sz w:val="18"/>
              </w:rPr>
              <w:t>1.52316e-05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0.2003</w:t>
            </w:r>
          </w:p>
        </w:tc>
        <w:tc>
          <w:tcPr>
            <w:tcW w:type="dxa" w:w="1632"/>
            <w:vAlign w:val="center"/>
            <w:shd w:fill="FFFFFF"/>
          </w:tcPr>
          <w:p>
            <w:pPr>
              <w:spacing w:after="100" w:before="100"/>
            </w:pPr>
            <w:r>
              <w:rPr>
                <w:b w:val="0"/>
                <w:i w:val="0"/>
                <w:sz w:val="18"/>
              </w:rPr>
              <w:t>0.2003007</w:t>
            </w:r>
          </w:p>
        </w:tc>
        <w:tc>
          <w:tcPr>
            <w:tcW w:type="dxa" w:w="1632"/>
            <w:vAlign w:val="center"/>
            <w:shd w:fill="FFFFFF"/>
          </w:tcPr>
          <w:p>
            <w:pPr>
              <w:spacing w:after="100" w:before="100"/>
            </w:pPr>
            <w:r>
              <w:rPr>
                <w:b w:val="0"/>
                <w:i w:val="0"/>
                <w:sz w:val="18"/>
              </w:rPr>
              <w:t>-0.000356041</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3">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T300 / EPON 862 Epoxy UD Prepreg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132</w:t>
            </w:r>
          </w:p>
        </w:tc>
        <w:tc>
          <w:tcPr>
            <w:tcW w:type="dxa" w:w="1632"/>
            <w:vAlign w:val="center"/>
            <w:shd w:fill="FFFFFF"/>
          </w:tcPr>
          <w:p>
            <w:pPr>
              <w:spacing w:after="100" w:before="100"/>
            </w:pPr>
            <w:r>
              <w:rPr>
                <w:b w:val="0"/>
                <w:i w:val="0"/>
                <w:sz w:val="18"/>
              </w:rPr>
              <w:t>132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8.4</w:t>
            </w:r>
          </w:p>
        </w:tc>
        <w:tc>
          <w:tcPr>
            <w:tcW w:type="dxa" w:w="1632"/>
            <w:vAlign w:val="center"/>
            <w:shd w:fill="FFFFFF"/>
          </w:tcPr>
          <w:p>
            <w:pPr>
              <w:spacing w:after="100" w:before="100"/>
            </w:pPr>
            <w:r>
              <w:rPr>
                <w:b w:val="0"/>
                <w:i w:val="0"/>
                <w:sz w:val="18"/>
              </w:rPr>
              <w:t>8.4</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4.5</w:t>
            </w:r>
          </w:p>
        </w:tc>
        <w:tc>
          <w:tcPr>
            <w:tcW w:type="dxa" w:w="1632"/>
            <w:vAlign w:val="center"/>
            <w:shd w:fill="FFFFFF"/>
          </w:tcPr>
          <w:p>
            <w:pPr>
              <w:spacing w:after="100" w:before="100"/>
            </w:pPr>
            <w:r>
              <w:rPr>
                <w:b w:val="0"/>
                <w:i w:val="0"/>
                <w:sz w:val="18"/>
              </w:rPr>
              <w:t>4.5</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4">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T800S / 977-3-Type Epoxy UD Prepreg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174</w:t>
            </w:r>
          </w:p>
        </w:tc>
        <w:tc>
          <w:tcPr>
            <w:tcW w:type="dxa" w:w="1632"/>
            <w:vAlign w:val="center"/>
            <w:shd w:fill="FFFFFF"/>
          </w:tcPr>
          <w:p>
            <w:pPr>
              <w:spacing w:after="100" w:before="100"/>
            </w:pPr>
            <w:r>
              <w:rPr>
                <w:b w:val="0"/>
                <w:i w:val="0"/>
                <w:sz w:val="18"/>
              </w:rPr>
              <w:t>174</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9.4</w:t>
            </w:r>
          </w:p>
        </w:tc>
        <w:tc>
          <w:tcPr>
            <w:tcW w:type="dxa" w:w="1632"/>
            <w:vAlign w:val="center"/>
            <w:shd w:fill="FFFFFF"/>
          </w:tcPr>
          <w:p>
            <w:pPr>
              <w:spacing w:after="100" w:before="100"/>
            </w:pPr>
            <w:r>
              <w:rPr>
                <w:b w:val="0"/>
                <w:i w:val="0"/>
                <w:sz w:val="18"/>
              </w:rPr>
              <w:t>9.4</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5.3</w:t>
            </w:r>
          </w:p>
        </w:tc>
        <w:tc>
          <w:tcPr>
            <w:tcW w:type="dxa" w:w="1632"/>
            <w:vAlign w:val="center"/>
            <w:shd w:fill="FFFFFF"/>
          </w:tcPr>
          <w:p>
            <w:pPr>
              <w:spacing w:after="100" w:before="100"/>
            </w:pPr>
            <w:r>
              <w:rPr>
                <w:b w:val="0"/>
                <w:i w:val="0"/>
                <w:sz w:val="18"/>
              </w:rPr>
              <w:t>5.3</w:t>
            </w:r>
          </w:p>
        </w:tc>
        <w:tc>
          <w:tcPr>
            <w:tcW w:type="dxa" w:w="1632"/>
            <w:vAlign w:val="center"/>
            <w:shd w:fill="FFFFFF"/>
          </w:tcPr>
          <w:p>
            <w:pPr>
              <w:spacing w:after="100" w:before="100"/>
            </w:pPr>
            <w:r>
              <w:rPr>
                <w:b w:val="0"/>
                <w:i w:val="0"/>
                <w:sz w:val="18"/>
              </w:rPr>
              <w:t>-1.67581e-14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5">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AS4 / LY 1564-Type Epoxy UD Prepreg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137</w:t>
            </w:r>
          </w:p>
        </w:tc>
        <w:tc>
          <w:tcPr>
            <w:tcW w:type="dxa" w:w="1632"/>
            <w:vAlign w:val="center"/>
            <w:shd w:fill="FFFFFF"/>
          </w:tcPr>
          <w:p>
            <w:pPr>
              <w:spacing w:after="100" w:before="100"/>
            </w:pPr>
            <w:r>
              <w:rPr>
                <w:b w:val="0"/>
                <w:i w:val="0"/>
                <w:sz w:val="18"/>
              </w:rPr>
              <w:t>137</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8.9</w:t>
            </w:r>
          </w:p>
        </w:tc>
        <w:tc>
          <w:tcPr>
            <w:tcW w:type="dxa" w:w="1632"/>
            <w:vAlign w:val="center"/>
            <w:shd w:fill="FFFFFF"/>
          </w:tcPr>
          <w:p>
            <w:pPr>
              <w:spacing w:after="100" w:before="100"/>
            </w:pPr>
            <w:r>
              <w:rPr>
                <w:b w:val="0"/>
                <w:i w:val="0"/>
                <w:sz w:val="18"/>
              </w:rPr>
              <w:t>8.9</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4.9</w:t>
            </w:r>
          </w:p>
        </w:tc>
        <w:tc>
          <w:tcPr>
            <w:tcW w:type="dxa" w:w="1632"/>
            <w:vAlign w:val="center"/>
            <w:shd w:fill="FFFFFF"/>
          </w:tcPr>
          <w:p>
            <w:pPr>
              <w:spacing w:after="100" w:before="100"/>
            </w:pPr>
            <w:r>
              <w:rPr>
                <w:b w:val="0"/>
                <w:i w:val="0"/>
                <w:sz w:val="18"/>
              </w:rPr>
              <w:t>4.9</w:t>
            </w:r>
          </w:p>
        </w:tc>
        <w:tc>
          <w:tcPr>
            <w:tcW w:type="dxa" w:w="1632"/>
            <w:vAlign w:val="center"/>
            <w:shd w:fill="FFFFFF"/>
          </w:tcPr>
          <w:p>
            <w:pPr>
              <w:spacing w:after="100" w:before="100"/>
            </w:pPr>
            <w:r>
              <w:rPr>
                <w:b w:val="0"/>
                <w:i w:val="0"/>
                <w:sz w:val="18"/>
              </w:rPr>
              <w:t>1.81261e-14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6">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T300 / Phenolic Plain Weave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62</w:t>
            </w:r>
          </w:p>
        </w:tc>
        <w:tc>
          <w:tcPr>
            <w:tcW w:type="dxa" w:w="1632"/>
            <w:vAlign w:val="center"/>
            <w:shd w:fill="FFFFFF"/>
          </w:tcPr>
          <w:p>
            <w:pPr>
              <w:spacing w:after="100" w:before="100"/>
            </w:pPr>
            <w:r>
              <w:rPr>
                <w:b w:val="0"/>
                <w:i w:val="0"/>
                <w:sz w:val="18"/>
              </w:rPr>
              <w:t>62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62</w:t>
            </w:r>
          </w:p>
        </w:tc>
        <w:tc>
          <w:tcPr>
            <w:tcW w:type="dxa" w:w="1632"/>
            <w:vAlign w:val="center"/>
            <w:shd w:fill="FFFFFF"/>
          </w:tcPr>
          <w:p>
            <w:pPr>
              <w:spacing w:after="100" w:before="100"/>
            </w:pPr>
            <w:r>
              <w:rPr>
                <w:b w:val="0"/>
                <w:i w:val="0"/>
                <w:sz w:val="18"/>
              </w:rPr>
              <w:t>62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4.2</w:t>
            </w:r>
          </w:p>
        </w:tc>
        <w:tc>
          <w:tcPr>
            <w:tcW w:type="dxa" w:w="1632"/>
            <w:vAlign w:val="center"/>
            <w:shd w:fill="FFFFFF"/>
          </w:tcPr>
          <w:p>
            <w:pPr>
              <w:spacing w:after="100" w:before="100"/>
            </w:pPr>
            <w:r>
              <w:rPr>
                <w:b w:val="0"/>
                <w:i w:val="0"/>
                <w:sz w:val="18"/>
              </w:rPr>
              <w:t>4.2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0.08</w:t>
            </w:r>
          </w:p>
        </w:tc>
        <w:tc>
          <w:tcPr>
            <w:tcW w:type="dxa" w:w="1632"/>
            <w:vAlign w:val="center"/>
            <w:shd w:fill="FFFFFF"/>
          </w:tcPr>
          <w:p>
            <w:pPr>
              <w:spacing w:after="100" w:before="100"/>
            </w:pPr>
            <w:r>
              <w:rPr>
                <w:b w:val="0"/>
                <w:i w:val="0"/>
                <w:sz w:val="18"/>
              </w:rPr>
              <w:t>0.08</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7">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T700/Epoxy Cross-Ply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1.35602e-06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1.35602e-06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4.8</w:t>
            </w:r>
          </w:p>
        </w:tc>
        <w:tc>
          <w:tcPr>
            <w:tcW w:type="dxa" w:w="1632"/>
            <w:vAlign w:val="center"/>
            <w:shd w:fill="FFFFFF"/>
          </w:tcPr>
          <w:p>
            <w:pPr>
              <w:spacing w:after="100" w:before="100"/>
            </w:pPr>
            <w:r>
              <w:rPr>
                <w:b w:val="0"/>
                <w:i w:val="0"/>
                <w:sz w:val="18"/>
              </w:rPr>
              <w:t>4.8</w:t>
            </w:r>
          </w:p>
        </w:tc>
        <w:tc>
          <w:tcPr>
            <w:tcW w:type="dxa" w:w="1632"/>
            <w:vAlign w:val="center"/>
            <w:shd w:fill="FFFFFF"/>
          </w:tcPr>
          <w:p>
            <w:pPr>
              <w:spacing w:after="100" w:before="100"/>
            </w:pPr>
            <w:r>
              <w:rPr>
                <w:b w:val="0"/>
                <w:i w:val="0"/>
                <w:sz w:val="18"/>
              </w:rPr>
              <w:t>-1.85037e-14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0.03821</w:t>
            </w:r>
          </w:p>
        </w:tc>
        <w:tc>
          <w:tcPr>
            <w:tcW w:type="dxa" w:w="1632"/>
            <w:vAlign w:val="center"/>
            <w:shd w:fill="FFFFFF"/>
          </w:tcPr>
          <w:p>
            <w:pPr>
              <w:spacing w:after="100" w:before="100"/>
            </w:pPr>
            <w:r>
              <w:rPr>
                <w:b w:val="0"/>
                <w:i w:val="0"/>
                <w:sz w:val="18"/>
              </w:rPr>
              <w:t>0.03820728</w:t>
            </w:r>
          </w:p>
        </w:tc>
        <w:tc>
          <w:tcPr>
            <w:tcW w:type="dxa" w:w="1632"/>
            <w:vAlign w:val="center"/>
            <w:shd w:fill="FFFFFF"/>
          </w:tcPr>
          <w:p>
            <w:pPr>
              <w:spacing w:after="100" w:before="100"/>
            </w:pPr>
            <w:r>
              <w:rPr>
                <w:b w:val="0"/>
                <w:i w:val="0"/>
                <w:sz w:val="18"/>
              </w:rPr>
              <w:t>0.00711144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8">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T700/Epoxy Balanced Angle-Ply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2.89691e-05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2.89691e-05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34.55407</w:t>
            </w:r>
          </w:p>
        </w:tc>
        <w:tc>
          <w:tcPr>
            <w:tcW w:type="dxa" w:w="1632"/>
            <w:vAlign w:val="center"/>
            <w:shd w:fill="FFFFFF"/>
          </w:tcPr>
          <w:p>
            <w:pPr>
              <w:spacing w:after="100" w:before="100"/>
            </w:pPr>
            <w:r>
              <w:rPr>
                <w:b w:val="0"/>
                <w:i w:val="0"/>
                <w:sz w:val="18"/>
              </w:rPr>
              <w:t>34.55407</w:t>
            </w:r>
          </w:p>
        </w:tc>
        <w:tc>
          <w:tcPr>
            <w:tcW w:type="dxa" w:w="1632"/>
            <w:vAlign w:val="center"/>
            <w:shd w:fill="FFFFFF"/>
          </w:tcPr>
          <w:p>
            <w:pPr>
              <w:spacing w:after="100" w:before="100"/>
            </w:pPr>
            <w:r>
              <w:rPr>
                <w:b w:val="0"/>
                <w:i w:val="0"/>
                <w:sz w:val="18"/>
              </w:rPr>
              <w:t>-6.6489e-06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0.77197</w:t>
            </w:r>
          </w:p>
        </w:tc>
        <w:tc>
          <w:tcPr>
            <w:tcW w:type="dxa" w:w="1632"/>
            <w:vAlign w:val="center"/>
            <w:shd w:fill="FFFFFF"/>
          </w:tcPr>
          <w:p>
            <w:pPr>
              <w:spacing w:after="100" w:before="100"/>
            </w:pPr>
            <w:r>
              <w:rPr>
                <w:b w:val="0"/>
                <w:i w:val="0"/>
                <w:sz w:val="18"/>
              </w:rPr>
              <w:t>0.7719682</w:t>
            </w:r>
          </w:p>
        </w:tc>
        <w:tc>
          <w:tcPr>
            <w:tcW w:type="dxa" w:w="1632"/>
            <w:vAlign w:val="center"/>
            <w:shd w:fill="FFFFFF"/>
          </w:tcPr>
          <w:p>
            <w:pPr>
              <w:spacing w:after="100" w:before="100"/>
            </w:pPr>
            <w:r>
              <w:rPr>
                <w:b w:val="0"/>
                <w:i w:val="0"/>
                <w:sz w:val="18"/>
              </w:rPr>
              <w:t>0.000228419</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9">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IM7/Toughened Epoxy Unidirectional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165</w:t>
            </w:r>
          </w:p>
        </w:tc>
        <w:tc>
          <w:tcPr>
            <w:tcW w:type="dxa" w:w="1632"/>
            <w:vAlign w:val="center"/>
            <w:shd w:fill="FFFFFF"/>
          </w:tcPr>
          <w:p>
            <w:pPr>
              <w:spacing w:after="100" w:before="100"/>
            </w:pPr>
            <w:r>
              <w:rPr>
                <w:b w:val="0"/>
                <w:i w:val="0"/>
                <w:sz w:val="18"/>
              </w:rPr>
              <w:t>165</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9</w:t>
            </w:r>
          </w:p>
        </w:tc>
        <w:tc>
          <w:tcPr>
            <w:tcW w:type="dxa" w:w="1632"/>
            <w:vAlign w:val="center"/>
            <w:shd w:fill="FFFFFF"/>
          </w:tcPr>
          <w:p>
            <w:pPr>
              <w:spacing w:after="100" w:before="100"/>
            </w:pPr>
            <w:r>
              <w:rPr>
                <w:b w:val="0"/>
                <w:i w:val="0"/>
                <w:sz w:val="18"/>
              </w:rPr>
              <w:t>9</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5.2</w:t>
            </w:r>
          </w:p>
        </w:tc>
        <w:tc>
          <w:tcPr>
            <w:tcW w:type="dxa" w:w="1632"/>
            <w:vAlign w:val="center"/>
            <w:shd w:fill="FFFFFF"/>
          </w:tcPr>
          <w:p>
            <w:pPr>
              <w:spacing w:after="100" w:before="100"/>
            </w:pPr>
            <w:r>
              <w:rPr>
                <w:b w:val="0"/>
                <w:i w:val="0"/>
                <w:sz w:val="18"/>
              </w:rPr>
              <w:t>5.2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0.32</w:t>
            </w:r>
          </w:p>
        </w:tc>
        <w:tc>
          <w:tcPr>
            <w:tcW w:type="dxa" w:w="1632"/>
            <w:vAlign w:val="center"/>
            <w:shd w:fill="FFFFFF"/>
          </w:tcPr>
          <w:p>
            <w:pPr>
              <w:spacing w:after="100" w:before="100"/>
            </w:pPr>
            <w:r>
              <w:rPr>
                <w:b w:val="0"/>
                <w:i w:val="0"/>
                <w:sz w:val="18"/>
              </w:rPr>
              <w:t>0.32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0">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AS4/PEEK Cross-Ply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76.36559</w:t>
            </w:r>
          </w:p>
        </w:tc>
        <w:tc>
          <w:tcPr>
            <w:tcW w:type="dxa" w:w="1632"/>
            <w:vAlign w:val="center"/>
            <w:shd w:fill="FFFFFF"/>
          </w:tcPr>
          <w:p>
            <w:pPr>
              <w:spacing w:after="100" w:before="100"/>
            </w:pPr>
            <w:r>
              <w:rPr>
                <w:b w:val="0"/>
                <w:i w:val="0"/>
                <w:sz w:val="18"/>
              </w:rPr>
              <w:t>76.36559</w:t>
            </w:r>
          </w:p>
        </w:tc>
        <w:tc>
          <w:tcPr>
            <w:tcW w:type="dxa" w:w="1632"/>
            <w:vAlign w:val="center"/>
            <w:shd w:fill="FFFFFF"/>
          </w:tcPr>
          <w:p>
            <w:pPr>
              <w:spacing w:after="100" w:before="100"/>
            </w:pPr>
            <w:r>
              <w:rPr>
                <w:b w:val="0"/>
                <w:i w:val="0"/>
                <w:sz w:val="18"/>
              </w:rPr>
              <w:t>4.99735e-06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76.36559</w:t>
            </w:r>
          </w:p>
        </w:tc>
        <w:tc>
          <w:tcPr>
            <w:tcW w:type="dxa" w:w="1632"/>
            <w:vAlign w:val="center"/>
            <w:shd w:fill="FFFFFF"/>
          </w:tcPr>
          <w:p>
            <w:pPr>
              <w:spacing w:after="100" w:before="100"/>
            </w:pPr>
            <w:r>
              <w:rPr>
                <w:b w:val="0"/>
                <w:i w:val="0"/>
                <w:sz w:val="18"/>
              </w:rPr>
              <w:t>76.36559</w:t>
            </w:r>
          </w:p>
        </w:tc>
        <w:tc>
          <w:tcPr>
            <w:tcW w:type="dxa" w:w="1632"/>
            <w:vAlign w:val="center"/>
            <w:shd w:fill="FFFFFF"/>
          </w:tcPr>
          <w:p>
            <w:pPr>
              <w:spacing w:after="100" w:before="100"/>
            </w:pPr>
            <w:r>
              <w:rPr>
                <w:b w:val="0"/>
                <w:i w:val="0"/>
                <w:sz w:val="18"/>
              </w:rPr>
              <w:t>4.99735e-06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w:t>
            </w:r>
          </w:p>
        </w:tc>
        <w:tc>
          <w:tcPr>
            <w:tcW w:type="dxa" w:w="1632"/>
            <w:vAlign w:val="center"/>
            <w:shd w:fill="FFFFFF"/>
          </w:tcPr>
          <w:p>
            <w:pPr>
              <w:spacing w:after="100" w:before="100"/>
            </w:pPr>
            <w:r>
              <w:rPr>
                <w:b w:val="0"/>
                <w:i w:val="0"/>
                <w:sz w:val="18"/>
              </w:rPr>
              <w:t>5.5</w:t>
            </w:r>
          </w:p>
        </w:tc>
        <w:tc>
          <w:tcPr>
            <w:tcW w:type="dxa" w:w="1632"/>
            <w:vAlign w:val="center"/>
            <w:shd w:fill="FFFFFF"/>
          </w:tcPr>
          <w:p>
            <w:pPr>
              <w:spacing w:after="100" w:before="100"/>
            </w:pPr>
            <w:r>
              <w:rPr>
                <w:b w:val="0"/>
                <w:i w:val="0"/>
                <w:sz w:val="18"/>
              </w:rPr>
              <w:t>1.61487e-14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0.03947</w:t>
            </w:r>
          </w:p>
        </w:tc>
        <w:tc>
          <w:tcPr>
            <w:tcW w:type="dxa" w:w="1632"/>
            <w:vAlign w:val="center"/>
            <w:shd w:fill="FFFFFF"/>
          </w:tcPr>
          <w:p>
            <w:pPr>
              <w:spacing w:after="100" w:before="100"/>
            </w:pPr>
            <w:r>
              <w:rPr>
                <w:b w:val="0"/>
                <w:i w:val="0"/>
                <w:sz w:val="18"/>
              </w:rPr>
              <w:t>0.03947368</w:t>
            </w:r>
          </w:p>
        </w:tc>
        <w:tc>
          <w:tcPr>
            <w:tcW w:type="dxa" w:w="1632"/>
            <w:vAlign w:val="center"/>
            <w:shd w:fill="FFFFFF"/>
          </w:tcPr>
          <w:p>
            <w:pPr>
              <w:spacing w:after="100" w:before="100"/>
            </w:pPr>
            <w:r>
              <w:rPr>
                <w:b w:val="0"/>
                <w:i w:val="0"/>
                <w:sz w:val="18"/>
              </w:rPr>
              <w:t>-0.00933333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1">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T300/Phenolic Woven Symmetric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44.21802</w:t>
            </w:r>
          </w:p>
        </w:tc>
        <w:tc>
          <w:tcPr>
            <w:tcW w:type="dxa" w:w="1632"/>
            <w:vAlign w:val="center"/>
            <w:shd w:fill="FFFFFF"/>
          </w:tcPr>
          <w:p>
            <w:pPr>
              <w:spacing w:after="100" w:before="100"/>
            </w:pPr>
            <w:r>
              <w:rPr>
                <w:b w:val="0"/>
                <w:i w:val="0"/>
                <w:sz w:val="18"/>
              </w:rPr>
              <w:t>44.21802</w:t>
            </w:r>
          </w:p>
        </w:tc>
        <w:tc>
          <w:tcPr>
            <w:tcW w:type="dxa" w:w="1632"/>
            <w:vAlign w:val="center"/>
            <w:shd w:fill="FFFFFF"/>
          </w:tcPr>
          <w:p>
            <w:pPr>
              <w:spacing w:after="100" w:before="100"/>
            </w:pPr>
            <w:r>
              <w:rPr>
                <w:b w:val="0"/>
                <w:i w:val="0"/>
                <w:sz w:val="18"/>
              </w:rPr>
              <w:t>-7.86975e-06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44.21802</w:t>
            </w:r>
          </w:p>
        </w:tc>
        <w:tc>
          <w:tcPr>
            <w:tcW w:type="dxa" w:w="1632"/>
            <w:vAlign w:val="center"/>
            <w:shd w:fill="FFFFFF"/>
          </w:tcPr>
          <w:p>
            <w:pPr>
              <w:spacing w:after="100" w:before="100"/>
            </w:pPr>
            <w:r>
              <w:rPr>
                <w:b w:val="0"/>
                <w:i w:val="0"/>
                <w:sz w:val="18"/>
              </w:rPr>
              <w:t>44.21802</w:t>
            </w:r>
          </w:p>
        </w:tc>
        <w:tc>
          <w:tcPr>
            <w:tcW w:type="dxa" w:w="1632"/>
            <w:vAlign w:val="center"/>
            <w:shd w:fill="FFFFFF"/>
          </w:tcPr>
          <w:p>
            <w:pPr>
              <w:spacing w:after="100" w:before="100"/>
            </w:pPr>
            <w:r>
              <w:rPr>
                <w:b w:val="0"/>
                <w:i w:val="0"/>
                <w:sz w:val="18"/>
              </w:rPr>
              <w:t>-7.86975e-06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16.45185</w:t>
            </w:r>
          </w:p>
        </w:tc>
        <w:tc>
          <w:tcPr>
            <w:tcW w:type="dxa" w:w="1632"/>
            <w:vAlign w:val="center"/>
            <w:shd w:fill="FFFFFF"/>
          </w:tcPr>
          <w:p>
            <w:pPr>
              <w:spacing w:after="100" w:before="100"/>
            </w:pPr>
            <w:r>
              <w:rPr>
                <w:b w:val="0"/>
                <w:i w:val="0"/>
                <w:sz w:val="18"/>
              </w:rPr>
              <w:t>16.45185</w:t>
            </w:r>
          </w:p>
        </w:tc>
        <w:tc>
          <w:tcPr>
            <w:tcW w:type="dxa" w:w="1632"/>
            <w:vAlign w:val="center"/>
            <w:shd w:fill="FFFFFF"/>
          </w:tcPr>
          <w:p>
            <w:pPr>
              <w:spacing w:after="100" w:before="100"/>
            </w:pPr>
            <w:r>
              <w:rPr>
                <w:b w:val="0"/>
                <w:i w:val="0"/>
                <w:sz w:val="18"/>
              </w:rPr>
              <w:t>-1.12562e-05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0.34386</w:t>
            </w:r>
          </w:p>
        </w:tc>
        <w:tc>
          <w:tcPr>
            <w:tcW w:type="dxa" w:w="1632"/>
            <w:vAlign w:val="center"/>
            <w:shd w:fill="FFFFFF"/>
          </w:tcPr>
          <w:p>
            <w:pPr>
              <w:spacing w:after="100" w:before="100"/>
            </w:pPr>
            <w:r>
              <w:rPr>
                <w:b w:val="0"/>
                <w:i w:val="0"/>
                <w:sz w:val="18"/>
              </w:rPr>
              <w:t>0.3438616</w:t>
            </w:r>
          </w:p>
        </w:tc>
        <w:tc>
          <w:tcPr>
            <w:tcW w:type="dxa" w:w="1632"/>
            <w:vAlign w:val="center"/>
            <w:shd w:fill="FFFFFF"/>
          </w:tcPr>
          <w:p>
            <w:pPr>
              <w:spacing w:after="100" w:before="100"/>
            </w:pPr>
            <w:r>
              <w:rPr>
                <w:b w:val="0"/>
                <w:i w:val="0"/>
                <w:sz w:val="18"/>
              </w:rPr>
              <w:t>-0.000461544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2">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T300/EPON 862 Quasi-Isotropic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50.47763</w:t>
            </w:r>
          </w:p>
        </w:tc>
        <w:tc>
          <w:tcPr>
            <w:tcW w:type="dxa" w:w="1632"/>
            <w:vAlign w:val="center"/>
            <w:shd w:fill="FFFFFF"/>
          </w:tcPr>
          <w:p>
            <w:pPr>
              <w:spacing w:after="100" w:before="100"/>
            </w:pPr>
            <w:r>
              <w:rPr>
                <w:b w:val="0"/>
                <w:i w:val="0"/>
                <w:sz w:val="18"/>
              </w:rPr>
              <w:t>50.47763</w:t>
            </w:r>
          </w:p>
        </w:tc>
        <w:tc>
          <w:tcPr>
            <w:tcW w:type="dxa" w:w="1632"/>
            <w:vAlign w:val="center"/>
            <w:shd w:fill="FFFFFF"/>
          </w:tcPr>
          <w:p>
            <w:pPr>
              <w:spacing w:after="100" w:before="100"/>
            </w:pPr>
            <w:r>
              <w:rPr>
                <w:b w:val="0"/>
                <w:i w:val="0"/>
                <w:sz w:val="18"/>
              </w:rPr>
              <w:t>7.56942e-06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50.47763</w:t>
            </w:r>
          </w:p>
        </w:tc>
        <w:tc>
          <w:tcPr>
            <w:tcW w:type="dxa" w:w="1632"/>
            <w:vAlign w:val="center"/>
            <w:shd w:fill="FFFFFF"/>
          </w:tcPr>
          <w:p>
            <w:pPr>
              <w:spacing w:after="100" w:before="100"/>
            </w:pPr>
            <w:r>
              <w:rPr>
                <w:b w:val="0"/>
                <w:i w:val="0"/>
                <w:sz w:val="18"/>
              </w:rPr>
              <w:t>50.47763</w:t>
            </w:r>
          </w:p>
        </w:tc>
        <w:tc>
          <w:tcPr>
            <w:tcW w:type="dxa" w:w="1632"/>
            <w:vAlign w:val="center"/>
            <w:shd w:fill="FFFFFF"/>
          </w:tcPr>
          <w:p>
            <w:pPr>
              <w:spacing w:after="100" w:before="100"/>
            </w:pPr>
            <w:r>
              <w:rPr>
                <w:b w:val="0"/>
                <w:i w:val="0"/>
                <w:sz w:val="18"/>
              </w:rPr>
              <w:t>7.56942e-06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19.25298</w:t>
            </w:r>
          </w:p>
        </w:tc>
        <w:tc>
          <w:tcPr>
            <w:tcW w:type="dxa" w:w="1632"/>
            <w:vAlign w:val="center"/>
            <w:shd w:fill="FFFFFF"/>
          </w:tcPr>
          <w:p>
            <w:pPr>
              <w:spacing w:after="100" w:before="100"/>
            </w:pPr>
            <w:r>
              <w:rPr>
                <w:b w:val="0"/>
                <w:i w:val="0"/>
                <w:sz w:val="18"/>
              </w:rPr>
              <w:t>19.25298</w:t>
            </w:r>
          </w:p>
        </w:tc>
        <w:tc>
          <w:tcPr>
            <w:tcW w:type="dxa" w:w="1632"/>
            <w:vAlign w:val="center"/>
            <w:shd w:fill="FFFFFF"/>
          </w:tcPr>
          <w:p>
            <w:pPr>
              <w:spacing w:after="100" w:before="100"/>
            </w:pPr>
            <w:r>
              <w:rPr>
                <w:b w:val="0"/>
                <w:i w:val="0"/>
                <w:sz w:val="18"/>
              </w:rPr>
              <w:t>-4.9716e-06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0.3109</w:t>
            </w:r>
          </w:p>
        </w:tc>
        <w:tc>
          <w:tcPr>
            <w:tcW w:type="dxa" w:w="1632"/>
            <w:vAlign w:val="center"/>
            <w:shd w:fill="FFFFFF"/>
          </w:tcPr>
          <w:p>
            <w:pPr>
              <w:spacing w:after="100" w:before="100"/>
            </w:pPr>
            <w:r>
              <w:rPr>
                <w:b w:val="0"/>
                <w:i w:val="0"/>
                <w:sz w:val="18"/>
              </w:rPr>
              <w:t>0.3109042</w:t>
            </w:r>
          </w:p>
        </w:tc>
        <w:tc>
          <w:tcPr>
            <w:tcW w:type="dxa" w:w="1632"/>
            <w:vAlign w:val="center"/>
            <w:shd w:fill="FFFFFF"/>
          </w:tcPr>
          <w:p>
            <w:pPr>
              <w:spacing w:after="100" w:before="100"/>
            </w:pPr>
            <w:r>
              <w:rPr>
                <w:b w:val="0"/>
                <w:i w:val="0"/>
                <w:sz w:val="18"/>
              </w:rPr>
              <w:t>-0.00134238</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3">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T800/977-3 Quasi-Isotropic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65.4781</w:t>
            </w:r>
          </w:p>
        </w:tc>
        <w:tc>
          <w:tcPr>
            <w:tcW w:type="dxa" w:w="1632"/>
            <w:vAlign w:val="center"/>
            <w:shd w:fill="FFFFFF"/>
          </w:tcPr>
          <w:p>
            <w:pPr>
              <w:spacing w:after="100" w:before="100"/>
            </w:pPr>
            <w:r>
              <w:rPr>
                <w:b w:val="0"/>
                <w:i w:val="0"/>
                <w:sz w:val="18"/>
              </w:rPr>
              <w:t>65.4781</w:t>
            </w:r>
          </w:p>
        </w:tc>
        <w:tc>
          <w:tcPr>
            <w:tcW w:type="dxa" w:w="1632"/>
            <w:vAlign w:val="center"/>
            <w:shd w:fill="FFFFFF"/>
          </w:tcPr>
          <w:p>
            <w:pPr>
              <w:spacing w:after="100" w:before="100"/>
            </w:pPr>
            <w:r>
              <w:rPr>
                <w:b w:val="0"/>
                <w:i w:val="0"/>
                <w:sz w:val="18"/>
              </w:rPr>
              <w:t>3.44673e-06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65.4781</w:t>
            </w:r>
          </w:p>
        </w:tc>
        <w:tc>
          <w:tcPr>
            <w:tcW w:type="dxa" w:w="1632"/>
            <w:vAlign w:val="center"/>
            <w:shd w:fill="FFFFFF"/>
          </w:tcPr>
          <w:p>
            <w:pPr>
              <w:spacing w:after="100" w:before="100"/>
            </w:pPr>
            <w:r>
              <w:rPr>
                <w:b w:val="0"/>
                <w:i w:val="0"/>
                <w:sz w:val="18"/>
              </w:rPr>
              <w:t>65.4781</w:t>
            </w:r>
          </w:p>
        </w:tc>
        <w:tc>
          <w:tcPr>
            <w:tcW w:type="dxa" w:w="1632"/>
            <w:vAlign w:val="center"/>
            <w:shd w:fill="FFFFFF"/>
          </w:tcPr>
          <w:p>
            <w:pPr>
              <w:spacing w:after="100" w:before="100"/>
            </w:pPr>
            <w:r>
              <w:rPr>
                <w:b w:val="0"/>
                <w:i w:val="0"/>
                <w:sz w:val="18"/>
              </w:rPr>
              <w:t>3.44673e-06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24.96234</w:t>
            </w:r>
          </w:p>
        </w:tc>
        <w:tc>
          <w:tcPr>
            <w:tcW w:type="dxa" w:w="1632"/>
            <w:vAlign w:val="center"/>
            <w:shd w:fill="FFFFFF"/>
          </w:tcPr>
          <w:p>
            <w:pPr>
              <w:spacing w:after="100" w:before="100"/>
            </w:pPr>
            <w:r>
              <w:rPr>
                <w:b w:val="0"/>
                <w:i w:val="0"/>
                <w:sz w:val="18"/>
              </w:rPr>
              <w:t>24.96234</w:t>
            </w:r>
          </w:p>
        </w:tc>
        <w:tc>
          <w:tcPr>
            <w:tcW w:type="dxa" w:w="1632"/>
            <w:vAlign w:val="center"/>
            <w:shd w:fill="FFFFFF"/>
          </w:tcPr>
          <w:p>
            <w:pPr>
              <w:spacing w:after="100" w:before="100"/>
            </w:pPr>
            <w:r>
              <w:rPr>
                <w:b w:val="0"/>
                <w:i w:val="0"/>
                <w:sz w:val="18"/>
              </w:rPr>
              <w:t>1.22841e-05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0.31154</w:t>
            </w:r>
          </w:p>
        </w:tc>
        <w:tc>
          <w:tcPr>
            <w:tcW w:type="dxa" w:w="1632"/>
            <w:vAlign w:val="center"/>
            <w:shd w:fill="FFFFFF"/>
          </w:tcPr>
          <w:p>
            <w:pPr>
              <w:spacing w:after="100" w:before="100"/>
            </w:pPr>
            <w:r>
              <w:rPr>
                <w:b w:val="0"/>
                <w:i w:val="0"/>
                <w:sz w:val="18"/>
              </w:rPr>
              <w:t>0.3115378</w:t>
            </w:r>
          </w:p>
        </w:tc>
        <w:tc>
          <w:tcPr>
            <w:tcW w:type="dxa" w:w="1632"/>
            <w:vAlign w:val="center"/>
            <w:shd w:fill="FFFFFF"/>
          </w:tcPr>
          <w:p>
            <w:pPr>
              <w:spacing w:after="100" w:before="100"/>
            </w:pPr>
            <w:r>
              <w:rPr>
                <w:b w:val="0"/>
                <w:i w:val="0"/>
                <w:sz w:val="18"/>
              </w:rPr>
              <w:t>0.000700943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4">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AS4/LY 1564 Quasi-Isotropic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52.64301</w:t>
            </w:r>
          </w:p>
        </w:tc>
        <w:tc>
          <w:tcPr>
            <w:tcW w:type="dxa" w:w="1632"/>
            <w:vAlign w:val="center"/>
            <w:shd w:fill="FFFFFF"/>
          </w:tcPr>
          <w:p>
            <w:pPr>
              <w:spacing w:after="100" w:before="100"/>
            </w:pPr>
            <w:r>
              <w:rPr>
                <w:b w:val="0"/>
                <w:i w:val="0"/>
                <w:sz w:val="18"/>
              </w:rPr>
              <w:t>52.64301</w:t>
            </w:r>
          </w:p>
        </w:tc>
        <w:tc>
          <w:tcPr>
            <w:tcW w:type="dxa" w:w="1632"/>
            <w:vAlign w:val="center"/>
            <w:shd w:fill="FFFFFF"/>
          </w:tcPr>
          <w:p>
            <w:pPr>
              <w:spacing w:after="100" w:before="100"/>
            </w:pPr>
            <w:r>
              <w:rPr>
                <w:b w:val="0"/>
                <w:i w:val="0"/>
                <w:sz w:val="18"/>
              </w:rPr>
              <w:t>-1.61583e-06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52.64301</w:t>
            </w:r>
          </w:p>
        </w:tc>
        <w:tc>
          <w:tcPr>
            <w:tcW w:type="dxa" w:w="1632"/>
            <w:vAlign w:val="center"/>
            <w:shd w:fill="FFFFFF"/>
          </w:tcPr>
          <w:p>
            <w:pPr>
              <w:spacing w:after="100" w:before="100"/>
            </w:pPr>
            <w:r>
              <w:rPr>
                <w:b w:val="0"/>
                <w:i w:val="0"/>
                <w:sz w:val="18"/>
              </w:rPr>
              <w:t>52.64301</w:t>
            </w:r>
          </w:p>
        </w:tc>
        <w:tc>
          <w:tcPr>
            <w:tcW w:type="dxa" w:w="1632"/>
            <w:vAlign w:val="center"/>
            <w:shd w:fill="FFFFFF"/>
          </w:tcPr>
          <w:p>
            <w:pPr>
              <w:spacing w:after="100" w:before="100"/>
            </w:pPr>
            <w:r>
              <w:rPr>
                <w:b w:val="0"/>
                <w:i w:val="0"/>
                <w:sz w:val="18"/>
              </w:rPr>
              <w:t>-1.61583e-06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20.10799</w:t>
            </w:r>
          </w:p>
        </w:tc>
        <w:tc>
          <w:tcPr>
            <w:tcW w:type="dxa" w:w="1632"/>
            <w:vAlign w:val="center"/>
            <w:shd w:fill="FFFFFF"/>
          </w:tcPr>
          <w:p>
            <w:pPr>
              <w:spacing w:after="100" w:before="100"/>
            </w:pPr>
            <w:r>
              <w:rPr>
                <w:b w:val="0"/>
                <w:i w:val="0"/>
                <w:sz w:val="18"/>
              </w:rPr>
              <w:t>20.10799</w:t>
            </w:r>
          </w:p>
        </w:tc>
        <w:tc>
          <w:tcPr>
            <w:tcW w:type="dxa" w:w="1632"/>
            <w:vAlign w:val="center"/>
            <w:shd w:fill="FFFFFF"/>
          </w:tcPr>
          <w:p>
            <w:pPr>
              <w:spacing w:after="100" w:before="100"/>
            </w:pPr>
            <w:r>
              <w:rPr>
                <w:b w:val="0"/>
                <w:i w:val="0"/>
                <w:sz w:val="18"/>
              </w:rPr>
              <w:t>6.4923e-06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0.30901</w:t>
            </w:r>
          </w:p>
        </w:tc>
        <w:tc>
          <w:tcPr>
            <w:tcW w:type="dxa" w:w="1632"/>
            <w:vAlign w:val="center"/>
            <w:shd w:fill="FFFFFF"/>
          </w:tcPr>
          <w:p>
            <w:pPr>
              <w:spacing w:after="100" w:before="100"/>
            </w:pPr>
            <w:r>
              <w:rPr>
                <w:b w:val="0"/>
                <w:i w:val="0"/>
                <w:sz w:val="18"/>
              </w:rPr>
              <w:t>0.3090074</w:t>
            </w:r>
          </w:p>
        </w:tc>
        <w:tc>
          <w:tcPr>
            <w:tcW w:type="dxa" w:w="1632"/>
            <w:vAlign w:val="center"/>
            <w:shd w:fill="FFFFFF"/>
          </w:tcPr>
          <w:p>
            <w:pPr>
              <w:spacing w:after="100" w:before="100"/>
            </w:pPr>
            <w:r>
              <w:rPr>
                <w:b w:val="0"/>
                <w:i w:val="0"/>
                <w:sz w:val="18"/>
              </w:rPr>
              <w:t>0.000850657</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5">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IM7/8552-Type Quasi-Isotropic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62.27019</w:t>
            </w:r>
          </w:p>
        </w:tc>
        <w:tc>
          <w:tcPr>
            <w:tcW w:type="dxa" w:w="1632"/>
            <w:vAlign w:val="center"/>
            <w:shd w:fill="FFFFFF"/>
          </w:tcPr>
          <w:p>
            <w:pPr>
              <w:spacing w:after="100" w:before="100"/>
            </w:pPr>
            <w:r>
              <w:rPr>
                <w:b w:val="0"/>
                <w:i w:val="0"/>
                <w:sz w:val="18"/>
              </w:rPr>
              <w:t>62.27019</w:t>
            </w:r>
          </w:p>
        </w:tc>
        <w:tc>
          <w:tcPr>
            <w:tcW w:type="dxa" w:w="1632"/>
            <w:vAlign w:val="center"/>
            <w:shd w:fill="FFFFFF"/>
          </w:tcPr>
          <w:p>
            <w:pPr>
              <w:spacing w:after="100" w:before="100"/>
            </w:pPr>
            <w:r>
              <w:rPr>
                <w:b w:val="0"/>
                <w:i w:val="0"/>
                <w:sz w:val="18"/>
              </w:rPr>
              <w:t>5.65262e-06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62.27019</w:t>
            </w:r>
          </w:p>
        </w:tc>
        <w:tc>
          <w:tcPr>
            <w:tcW w:type="dxa" w:w="1632"/>
            <w:vAlign w:val="center"/>
            <w:shd w:fill="FFFFFF"/>
          </w:tcPr>
          <w:p>
            <w:pPr>
              <w:spacing w:after="100" w:before="100"/>
            </w:pPr>
            <w:r>
              <w:rPr>
                <w:b w:val="0"/>
                <w:i w:val="0"/>
                <w:sz w:val="18"/>
              </w:rPr>
              <w:t>62.27019</w:t>
            </w:r>
          </w:p>
        </w:tc>
        <w:tc>
          <w:tcPr>
            <w:tcW w:type="dxa" w:w="1632"/>
            <w:vAlign w:val="center"/>
            <w:shd w:fill="FFFFFF"/>
          </w:tcPr>
          <w:p>
            <w:pPr>
              <w:spacing w:after="100" w:before="100"/>
            </w:pPr>
            <w:r>
              <w:rPr>
                <w:b w:val="0"/>
                <w:i w:val="0"/>
                <w:sz w:val="18"/>
              </w:rPr>
              <w:t>5.65262e-06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23.74812</w:t>
            </w:r>
          </w:p>
        </w:tc>
        <w:tc>
          <w:tcPr>
            <w:tcW w:type="dxa" w:w="1632"/>
            <w:vAlign w:val="center"/>
            <w:shd w:fill="FFFFFF"/>
          </w:tcPr>
          <w:p>
            <w:pPr>
              <w:spacing w:after="100" w:before="100"/>
            </w:pPr>
            <w:r>
              <w:rPr>
                <w:b w:val="0"/>
                <w:i w:val="0"/>
                <w:sz w:val="18"/>
              </w:rPr>
              <w:t>23.74812</w:t>
            </w:r>
          </w:p>
        </w:tc>
        <w:tc>
          <w:tcPr>
            <w:tcW w:type="dxa" w:w="1632"/>
            <w:vAlign w:val="center"/>
            <w:shd w:fill="FFFFFF"/>
          </w:tcPr>
          <w:p>
            <w:pPr>
              <w:spacing w:after="100" w:before="100"/>
            </w:pPr>
            <w:r>
              <w:rPr>
                <w:b w:val="0"/>
                <w:i w:val="0"/>
                <w:sz w:val="18"/>
              </w:rPr>
              <w:t>-7.88882e-06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0.31105</w:t>
            </w:r>
          </w:p>
        </w:tc>
        <w:tc>
          <w:tcPr>
            <w:tcW w:type="dxa" w:w="1632"/>
            <w:vAlign w:val="center"/>
            <w:shd w:fill="FFFFFF"/>
          </w:tcPr>
          <w:p>
            <w:pPr>
              <w:spacing w:after="100" w:before="100"/>
            </w:pPr>
            <w:r>
              <w:rPr>
                <w:b w:val="0"/>
                <w:i w:val="0"/>
                <w:sz w:val="18"/>
              </w:rPr>
              <w:t>0.311055</w:t>
            </w:r>
          </w:p>
        </w:tc>
        <w:tc>
          <w:tcPr>
            <w:tcW w:type="dxa" w:w="1632"/>
            <w:vAlign w:val="center"/>
            <w:shd w:fill="FFFFFF"/>
          </w:tcPr>
          <w:p>
            <w:pPr>
              <w:spacing w:after="100" w:before="100"/>
            </w:pPr>
            <w:r>
              <w:rPr>
                <w:b w:val="0"/>
                <w:i w:val="0"/>
                <w:sz w:val="18"/>
              </w:rPr>
              <w:t>-0.00159819</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6">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Quasi-Isotropic Plate in Uniaxial Tension · resultant response</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6.49425e-06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6.49425e-06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19.67704</w:t>
            </w:r>
          </w:p>
        </w:tc>
        <w:tc>
          <w:tcPr>
            <w:tcW w:type="dxa" w:w="1632"/>
            <w:vAlign w:val="center"/>
            <w:shd w:fill="FFFFFF"/>
          </w:tcPr>
          <w:p>
            <w:pPr>
              <w:spacing w:after="100" w:before="100"/>
            </w:pPr>
            <w:r>
              <w:rPr>
                <w:b w:val="0"/>
                <w:i w:val="0"/>
                <w:sz w:val="18"/>
              </w:rPr>
              <w:t>19.67704</w:t>
            </w:r>
          </w:p>
        </w:tc>
        <w:tc>
          <w:tcPr>
            <w:tcW w:type="dxa" w:w="1632"/>
            <w:vAlign w:val="center"/>
            <w:shd w:fill="FFFFFF"/>
          </w:tcPr>
          <w:p>
            <w:pPr>
              <w:spacing w:after="100" w:before="100"/>
            </w:pPr>
            <w:r>
              <w:rPr>
                <w:b w:val="0"/>
                <w:i w:val="0"/>
                <w:sz w:val="18"/>
              </w:rPr>
              <w:t>1.95724e-05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0.30929</w:t>
            </w:r>
          </w:p>
        </w:tc>
        <w:tc>
          <w:tcPr>
            <w:tcW w:type="dxa" w:w="1632"/>
            <w:vAlign w:val="center"/>
            <w:shd w:fill="FFFFFF"/>
          </w:tcPr>
          <w:p>
            <w:pPr>
              <w:spacing w:after="100" w:before="100"/>
            </w:pPr>
            <w:r>
              <w:rPr>
                <w:b w:val="0"/>
                <w:i w:val="0"/>
                <w:sz w:val="18"/>
              </w:rPr>
              <w:t>0.3092921</w:t>
            </w:r>
          </w:p>
        </w:tc>
        <w:tc>
          <w:tcPr>
            <w:tcW w:type="dxa" w:w="1632"/>
            <w:vAlign w:val="center"/>
            <w:shd w:fill="FFFFFF"/>
          </w:tcPr>
          <w:p>
            <w:pPr>
              <w:spacing w:after="100" w:before="100"/>
            </w:pPr>
            <w:r>
              <w:rPr>
                <w:b w:val="0"/>
                <w:i w:val="0"/>
                <w:sz w:val="18"/>
              </w:rPr>
              <w:t>-0.000684654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7">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Cross-Ply Plate under Pure Bending · resultant response</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1.35602e-06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1.35602e-06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4.8</w:t>
            </w:r>
          </w:p>
        </w:tc>
        <w:tc>
          <w:tcPr>
            <w:tcW w:type="dxa" w:w="1632"/>
            <w:vAlign w:val="center"/>
            <w:shd w:fill="FFFFFF"/>
          </w:tcPr>
          <w:p>
            <w:pPr>
              <w:spacing w:after="100" w:before="100"/>
            </w:pPr>
            <w:r>
              <w:rPr>
                <w:b w:val="0"/>
                <w:i w:val="0"/>
                <w:sz w:val="18"/>
              </w:rPr>
              <w:t>4.8</w:t>
            </w:r>
          </w:p>
        </w:tc>
        <w:tc>
          <w:tcPr>
            <w:tcW w:type="dxa" w:w="1632"/>
            <w:vAlign w:val="center"/>
            <w:shd w:fill="FFFFFF"/>
          </w:tcPr>
          <w:p>
            <w:pPr>
              <w:spacing w:after="100" w:before="100"/>
            </w:pPr>
            <w:r>
              <w:rPr>
                <w:b w:val="0"/>
                <w:i w:val="0"/>
                <w:sz w:val="18"/>
              </w:rPr>
              <w:t>-1.85037e-14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0.03821</w:t>
            </w:r>
          </w:p>
        </w:tc>
        <w:tc>
          <w:tcPr>
            <w:tcW w:type="dxa" w:w="1632"/>
            <w:vAlign w:val="center"/>
            <w:shd w:fill="FFFFFF"/>
          </w:tcPr>
          <w:p>
            <w:pPr>
              <w:spacing w:after="100" w:before="100"/>
            </w:pPr>
            <w:r>
              <w:rPr>
                <w:b w:val="0"/>
                <w:i w:val="0"/>
                <w:sz w:val="18"/>
              </w:rPr>
              <w:t>0.03820728</w:t>
            </w:r>
          </w:p>
        </w:tc>
        <w:tc>
          <w:tcPr>
            <w:tcW w:type="dxa" w:w="1632"/>
            <w:vAlign w:val="center"/>
            <w:shd w:fill="FFFFFF"/>
          </w:tcPr>
          <w:p>
            <w:pPr>
              <w:spacing w:after="100" w:before="100"/>
            </w:pPr>
            <w:r>
              <w:rPr>
                <w:b w:val="0"/>
                <w:i w:val="0"/>
                <w:sz w:val="18"/>
              </w:rPr>
              <w:t>0.00711144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8">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Angle-Ply Plate under Biaxial Load and Shear · resultant response</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2.89691e-05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2.89691e-05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34.55407</w:t>
            </w:r>
          </w:p>
        </w:tc>
        <w:tc>
          <w:tcPr>
            <w:tcW w:type="dxa" w:w="1632"/>
            <w:vAlign w:val="center"/>
            <w:shd w:fill="FFFFFF"/>
          </w:tcPr>
          <w:p>
            <w:pPr>
              <w:spacing w:after="100" w:before="100"/>
            </w:pPr>
            <w:r>
              <w:rPr>
                <w:b w:val="0"/>
                <w:i w:val="0"/>
                <w:sz w:val="18"/>
              </w:rPr>
              <w:t>34.55407</w:t>
            </w:r>
          </w:p>
        </w:tc>
        <w:tc>
          <w:tcPr>
            <w:tcW w:type="dxa" w:w="1632"/>
            <w:vAlign w:val="center"/>
            <w:shd w:fill="FFFFFF"/>
          </w:tcPr>
          <w:p>
            <w:pPr>
              <w:spacing w:after="100" w:before="100"/>
            </w:pPr>
            <w:r>
              <w:rPr>
                <w:b w:val="0"/>
                <w:i w:val="0"/>
                <w:sz w:val="18"/>
              </w:rPr>
              <w:t>-6.6489e-06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0.77197</w:t>
            </w:r>
          </w:p>
        </w:tc>
        <w:tc>
          <w:tcPr>
            <w:tcW w:type="dxa" w:w="1632"/>
            <w:vAlign w:val="center"/>
            <w:shd w:fill="FFFFFF"/>
          </w:tcPr>
          <w:p>
            <w:pPr>
              <w:spacing w:after="100" w:before="100"/>
            </w:pPr>
            <w:r>
              <w:rPr>
                <w:b w:val="0"/>
                <w:i w:val="0"/>
                <w:sz w:val="18"/>
              </w:rPr>
              <w:t>0.7719682</w:t>
            </w:r>
          </w:p>
        </w:tc>
        <w:tc>
          <w:tcPr>
            <w:tcW w:type="dxa" w:w="1632"/>
            <w:vAlign w:val="center"/>
            <w:shd w:fill="FFFFFF"/>
          </w:tcPr>
          <w:p>
            <w:pPr>
              <w:spacing w:after="100" w:before="100"/>
            </w:pPr>
            <w:r>
              <w:rPr>
                <w:b w:val="0"/>
                <w:i w:val="0"/>
                <w:sz w:val="18"/>
              </w:rPr>
              <w:t>0.000228419</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9">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FSDT plate bending: thin-to-thick comparison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FSDT module regression checks cover independent analytical plate solutions and refinement. This particular exercise has not received a full quantitative benchmark badge; do not inherit a CLT-only pass for its FSDT fields.</w:t>
      </w:r>
    </w:p>
    <w:p>
      <w:pPr>
        <w:pStyle w:val="Heading3"/>
      </w:pPr>
      <w:r>
        <w:t>Tested inputs</w:t>
      </w:r>
    </w:p>
    <w:p>
      <w:pPr>
        <w:pStyle w:val="ListBullet"/>
      </w:pPr>
      <w:r>
        <w:rPr>
          <w:b w:val="0"/>
          <w:i w:val="0"/>
        </w:rP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hyperlink r:id="rId150">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FSDT cross-ply plate: buckling and natural frequencies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FSDT module regression checks cover independent analytical plate solutions and refinement. This particular exercise has not received a full quantitative benchmark badge; do not inherit a CLT-only pass for its FSDT fields.</w:t>
      </w:r>
    </w:p>
    <w:p>
      <w:pPr>
        <w:pStyle w:val="Heading3"/>
      </w:pPr>
      <w:r>
        <w:t>Tested inputs</w:t>
      </w:r>
    </w:p>
    <w:p>
      <w:pPr>
        <w:pStyle w:val="ListBullet"/>
      </w:pPr>
      <w:r>
        <w:rPr>
          <w:b w:val="0"/>
          <w:i w:val="0"/>
        </w:rP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hyperlink r:id="rId151">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FSDT soft-core plate: shear-dominated bending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FSDT module regression checks cover independent analytical plate solutions and refinement. This particular exercise has not received a full quantitative benchmark badge; do not inherit a CLT-only pass for its FSDT fields.</w:t>
      </w:r>
    </w:p>
    <w:p>
      <w:pPr>
        <w:pStyle w:val="Heading3"/>
      </w:pPr>
      <w:r>
        <w:t>Tested inputs</w:t>
      </w:r>
    </w:p>
    <w:p>
      <w:pPr>
        <w:pStyle w:val="ListBullet"/>
      </w:pPr>
      <w:r>
        <w:rPr>
          <w:b w:val="0"/>
          <w:i w:val="0"/>
        </w:rP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hyperlink r:id="rId152">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Sandwich FSDT: clamped panel bending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FSDT module regression checks cover independent analytical plate solutions and refinement. This particular exercise has not received a full quantitative benchmark badge; do not inherit a CLT-only pass for its FSDT fields.</w:t>
      </w:r>
    </w:p>
    <w:p>
      <w:pPr>
        <w:pStyle w:val="Heading3"/>
      </w:pPr>
      <w:r>
        <w:t>Tested inputs</w:t>
      </w:r>
    </w:p>
    <w:p>
      <w:pPr>
        <w:pStyle w:val="ListBullet"/>
      </w:pPr>
      <w:r>
        <w:rPr>
          <w:b w:val="0"/>
          <w:i w:val="0"/>
        </w:rP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hyperlink r:id="rId153">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Sandwich FSDT: biaxial compression buckling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FSDT module regression checks cover independent analytical plate solutions and refinement. This particular exercise has not received a full quantitative benchmark badge; do not inherit a CLT-only pass for its FSDT fields.</w:t>
      </w:r>
    </w:p>
    <w:p>
      <w:pPr>
        <w:pStyle w:val="Heading3"/>
      </w:pPr>
      <w:r>
        <w:t>Tested inputs</w:t>
      </w:r>
    </w:p>
    <w:p>
      <w:pPr>
        <w:pStyle w:val="ListBullet"/>
      </w:pPr>
      <w:r>
        <w:rPr>
          <w:b w:val="0"/>
          <w:i w:val="0"/>
        </w:rP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hyperlink r:id="rId154">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Sandwich FSDT: directional-core natural frequencies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FSDT module regression checks cover independent analytical plate solutions and refinement. This particular exercise has not received a full quantitative benchmark badge; do not inherit a CLT-only pass for its FSDT fields.</w:t>
      </w:r>
    </w:p>
    <w:p>
      <w:pPr>
        <w:pStyle w:val="Heading3"/>
      </w:pPr>
      <w:r>
        <w:t>Tested inputs</w:t>
      </w:r>
    </w:p>
    <w:p>
      <w:pPr>
        <w:pStyle w:val="ListBullet"/>
      </w:pPr>
      <w:r>
        <w:rPr>
          <w:b w:val="0"/>
          <w:i w:val="0"/>
        </w:rP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hyperlink r:id="rId155">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D6641 · Compression coupon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Uniform small-strain compression using linked laminate Ex and thickness. Measured compressive strength supplies a screening ratio; fixture, tabs, buckling and failure evolution are not simulated.</w:t>
      </w:r>
    </w:p>
    <w:p>
      <w:pPr/>
      <w:hyperlink r:id="rId156">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D5379 / D7078 · Shear coupon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Uniform nominal shear between notches using linked laminate Gxy and thickness. Not a notch/fixture stress field or nonlinear shear solution. Gauge length is the effective shear deformation length, not crosshead travel.</w:t>
      </w:r>
    </w:p>
    <w:p>
      <w:pPr/>
      <w:hyperlink r:id="rId157">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D5528 · DCB opening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Ideal Euler–Bernoulli DCB with equal homogeneous 0° arms, each half the linked laminate thickness. No root rotation, shear, large displacement or cohesive growth. Critical load is an initiation estimate from supplied GIc.</w:t>
      </w:r>
    </w:p>
    <w:p>
      <w:pPr/>
      <w:hyperlink r:id="rId158">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D7905 · ENF sliding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Ideal equal-arm, homogeneous 0° ENF beam; support span is twice the half-span. Crack must be shorter than the half-span. No shear/root correction or unstable crack growth. GIIc is supplied, not fitted automatically.</w:t>
      </w:r>
    </w:p>
    <w:p>
      <w:pPr/>
      <w:hyperlink r:id="rId159">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D6671 · Mixed-mode fracture envelope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Benzeggagh–Kenane envelope from calibrated GIc, GIIc and exponent. Supplied GI/GII are energy-release rates from a separate test reduction or analysis. This does not resolve the MMB lever fixture or propagate a crack.</w:t>
      </w:r>
    </w:p>
    <w:p>
      <w:pPr/>
      <w:hyperlink r:id="rId160">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D5229 · Moisture uptake calibration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hyperlink r:id="rId161">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D5961 · Bearing / bypass screening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hyperlink r:id="rId162">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D6484 · Open-hole compression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Nominal gross/net stress and demand relative to measured open-hole compressive strength for this geometry and layup. This is test-data screening, not an uncalibrated notch-strength prediction. No local buckling or kink-band simulation.</w:t>
      </w:r>
    </w:p>
    <w:p>
      <w:pPr/>
      <w:hyperlink r:id="rId163">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D6742 · Filled-hole comparison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hyperlink r:id="rId164">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D7136 / D7137 · Impact &amp; CAI assessment</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hyperlink r:id="rId165">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Wiener series and parallel</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Positive lossless dielectric bounds; complex directional estimates. Positive-permittivity, passive, nonmagnetic RF screening only. This separate study uses explicit EM inputs, not mechanical or cure properties. Illustrative defaults are not measured T700 properties.</w:t>
      </w:r>
    </w:p>
    <w:p>
      <w:pPr/>
      <w:hyperlink r:id="rId166">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Looyenga / Landau–Lifshitz–Looyenga</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One cube-root mixing law, not two independent models. Positive-permittivity, passive, nonmagnetic RF screening only. This separate study uses explicit EM inputs, not mechanical or cure properties. Illustrative defaults are not measured T700 properties.</w:t>
      </w:r>
    </w:p>
    <w:p>
      <w:pPr/>
      <w:hyperlink r:id="rId167">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Maxwell–Garnett</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Dilute subwavelength spherical inclusions in a host. Positive-permittivity, passive, nonmagnetic RF screening only. This separate study uses explicit EM inputs, not mechanical or cure properties. Illustrative defaults are not measured T700 properties.</w:t>
      </w:r>
    </w:p>
    <w:p>
      <w:pPr/>
      <w:hyperlink r:id="rId168">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Normal-incidence laminate TMM</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Coherent isotropic nonmagnetic layers between air half-spaces. Positive-permittivity, passive, nonmagnetic RF screening only. This separate study uses explicit EM inputs, not mechanical or cure properties. Illustrative defaults are not measured T700 properties.</w:t>
      </w:r>
    </w:p>
    <w:p>
      <w:pPr/>
      <w:hyperlink r:id="rId169">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Bruggeman symmetric EMT</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Two positive-permittivity phases; no explicit contact network. Positive-permittivity, passive, nonmagnetic RF screening only. This separate study uses explicit EM inputs, not mechanical or cure properties. Illustrative defaults are not measured T700 properties.</w:t>
      </w:r>
    </w:p>
    <w:p>
      <w:pPr/>
      <w:hyperlink r:id="rId170">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EM Mori–Tanaka</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Scalar principal-axis ellipsoidal field approximation. Positive-permittivity, passive, nonmagnetic RF screening only. This separate study uses explicit EM inputs, not mechanical or cure properties. Illustrative defaults are not measured T700 properties.</w:t>
      </w:r>
    </w:p>
    <w:p>
      <w:pPr/>
      <w:hyperlink r:id="rId171">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EM self-consistent</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Scalar principal-axis self-consistency; spherical case equals Bruggeman. Positive-permittivity, passive, nonmagnetic RF screening only. This separate study uses explicit EM inputs, not mechanical or cure properties. Illustrative defaults are not measured T700 properties.</w:t>
      </w:r>
    </w:p>
    <w:p>
      <w:pPr/>
      <w:hyperlink r:id="rId172">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Differential effective medium</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Incremental mixing with time-step refinement check. Positive-permittivity, passive, nonmagnetic RF screening only. This separate study uses explicit EM inputs, not mechanical or cure properties. Illustrative defaults are not measured T700 properties.</w:t>
      </w:r>
    </w:p>
    <w:p>
      <w:pPr/>
      <w:hyperlink r:id="rId173">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Coated sphere and interphase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Concentric subwavelength coated spheres; no dynamic Mie scattering. Positive-permittivity, passive, nonmagnetic RF screening only. This separate study uses explicit EM inputs, not mechanical or cure properties. Illustrative defaults are not measured T700 properties.</w:t>
      </w:r>
    </w:p>
    <w:p>
      <w:pPr/>
      <w:hyperlink r:id="rId174">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Generalized multiphase EMT</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Spherical multiphase Bruggeman with convergence checks. Positive-permittivity, passive, nonmagnetic RF screening only. This separate study uses explicit EM inputs, not mechanical or cure properties. Illustrative defaults are not measured T700 properties.</w:t>
      </w:r>
    </w:p>
    <w:p>
      <w:pPr/>
      <w:hyperlink r:id="rId175">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Oblique polarized laminate TMM</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TE or TM waves; scalar isotropic layers, no polarization conversion. Positive-permittivity, passive, nonmagnetic RF screening only. This separate study uses explicit EM inputs, not mechanical or cure properties. Illustrative defaults are not measured T700 properties.</w:t>
      </w:r>
    </w:p>
    <w:p>
      <w:pPr/>
      <w:hyperlink r:id="rId176">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1D transmission line matrix</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Normal-incidence lossless delay-line mesh with pulse decay, energy and mesh-refinement safeguards. Explicit Run required; not a 3D solver. Positive-permittivity, passive, nonmagnetic RF screening only. This separate study uses explicit EM inputs, not mechanical or cure properties. Illustrative defaults are not measured T700 properties.</w:t>
      </w:r>
    </w:p>
    <w:p>
      <w:pPr/>
      <w:hyperlink r:id="rId177">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1D Floquet–Bloch periodic layers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Lossless isotropic A/B unit-cell eigenvalues, folded Bloch phase and stop-band attenuation at normal incidence. Not arbitrary-cell homogenization. Positive-permittivity, passive, nonmagnetic RF screening only. This separate study uses explicit EM inputs, not mechanical or cure properties. Illustrative defaults are not measured T700 properties.</w:t>
      </w:r>
    </w:p>
    <w:p>
      <w:pPr/>
      <w:hyperlink r:id="rId178">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Open-hole strength</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Infinite-width, specially orthotropic tension screening. Point and average stress distances must be calibrated independently for this laminate. Not compression, bearing or a joint allowable.</w:t>
      </w:r>
    </w:p>
    <w:p>
      <w:pPr/>
      <w:hyperlink r:id="rId179">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Creep &amp; stress relaxation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Linear uniaxial response at the calibration temperature. Reference Ex is the instantaneous modulus. Three Maxwell branches; creep is solved from stress equilibrium, not the reciprocal relaxation modulus. No thermal shifting or nonlinear creep.</w:t>
      </w:r>
    </w:p>
    <w:p>
      <w:pPr/>
      <w:hyperlink r:id="rId180">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Analytical bonded joint</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Identical equivalent-elastic adherends, long free arms and a thin elastic adhesive. Compare shear-only Volkersen with eccentric single-lap shear and peel. Not a debonding, plasticity or strength calculation.</w:t>
      </w:r>
    </w:p>
    <w:p>
      <w:pPr/>
      <w:hyperlink r:id="rId181">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LaRC04 failure initiation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NASA LaRC04 linear-shear specialization, evaluated at both faces of every ply under membrane and bending loads. Supplied ply strengths are effective/in-situ values; no automatic thin-ply enhancement. Initiation only, not degradation or nonlinear-shear instability.</w:t>
      </w:r>
    </w:p>
    <w:p>
      <w:pPr/>
      <w:hyperlink r:id="rId182">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Tool-release shape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Free CLT release from prescribed ply-local shrinkage/thermal eigenstrains. Corner spring-in is a separate uniform-strain estimate. Stress-free temperature and effective post-gel shrinkage need calibration. No tool friction, cure kinetics or viscoelastic restraint history.</w:t>
      </w:r>
    </w:p>
    <w:p>
      <w:pPr/>
      <w:hyperlink r:id="rId183">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Fatigue residual properties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Prescribed power-law retention fitted to constant-amplitude tests at a fixed stress ratio, amplitude and temperature. Stiffness and strength have independent coefficients. S–N life alone cannot calibrate either. Does not modify the saved laminate.</w:t>
      </w:r>
    </w:p>
    <w:p>
      <w:pPr/>
      <w:hyperlink r:id="rId184">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Cylinder buckling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pPr/>
      <w:hyperlink r:id="rId185">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Uncertainty &amp; sensitivity</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6">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Seeded independent uniform sampling of shared modulus, ply-thickness and angle offsets. Recomputes laminate ABD for each sample. Bounds are assumptions, not measured distributions. Percentiles and sensitivity are exploratory, not reliability certification.</w:t>
      </w:r>
    </w:p>
    <w:p>
      <w:pPr/>
      <w:hyperlink r:id="rId186">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Micro optimization: stiffness, voids and density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1.71373e-06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1.71373e-06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-2.84568e-06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0.31789</w:t>
            </w:r>
          </w:p>
        </w:tc>
        <w:tc>
          <w:tcPr>
            <w:tcW w:type="dxa" w:w="1632"/>
            <w:vAlign w:val="center"/>
            <w:shd w:fill="FFFFFF"/>
          </w:tcPr>
          <w:p>
            <w:pPr>
              <w:spacing w:after="100" w:before="100"/>
            </w:pPr>
            <w:r>
              <w:rPr>
                <w:b w:val="0"/>
                <w:i w:val="0"/>
                <w:sz w:val="18"/>
              </w:rPr>
              <w:t>0.317886</w:t>
            </w:r>
          </w:p>
        </w:tc>
        <w:tc>
          <w:tcPr>
            <w:tcW w:type="dxa" w:w="1632"/>
            <w:vAlign w:val="center"/>
            <w:shd w:fill="FFFFFF"/>
          </w:tcPr>
          <w:p>
            <w:pPr>
              <w:spacing w:after="100" w:before="100"/>
            </w:pPr>
            <w:r>
              <w:rPr>
                <w:b w:val="0"/>
                <w:i w:val="0"/>
                <w:sz w:val="18"/>
              </w:rPr>
              <w:t>0.00126045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E1</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6.41264</w:t>
            </w:r>
          </w:p>
        </w:tc>
        <w:tc>
          <w:tcPr>
            <w:tcW w:type="dxa" w:w="1632"/>
            <w:vAlign w:val="center"/>
            <w:shd w:fill="FFFFFF"/>
          </w:tcPr>
          <w:p>
            <w:pPr>
              <w:spacing w:after="100" w:before="100"/>
            </w:pPr>
            <w:r>
              <w:rPr>
                <w:b w:val="0"/>
                <w:i w:val="0"/>
                <w:sz w:val="18"/>
              </w:rPr>
              <w:t>6.412639</w:t>
            </w:r>
          </w:p>
        </w:tc>
        <w:tc>
          <w:tcPr>
            <w:tcW w:type="dxa" w:w="1632"/>
            <w:vAlign w:val="center"/>
            <w:shd w:fill="FFFFFF"/>
          </w:tcPr>
          <w:p>
            <w:pPr>
              <w:spacing w:after="100" w:before="100"/>
            </w:pPr>
            <w:r>
              <w:rPr>
                <w:b w:val="0"/>
                <w:i w:val="0"/>
                <w:sz w:val="18"/>
              </w:rPr>
              <w:t>9.27536e-06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G12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2.98755</w:t>
            </w:r>
          </w:p>
        </w:tc>
        <w:tc>
          <w:tcPr>
            <w:tcW w:type="dxa" w:w="1632"/>
            <w:vAlign w:val="center"/>
            <w:shd w:fill="FFFFFF"/>
          </w:tcPr>
          <w:p>
            <w:pPr>
              <w:spacing w:after="100" w:before="100"/>
            </w:pPr>
            <w:r>
              <w:rPr>
                <w:b w:val="0"/>
                <w:i w:val="0"/>
                <w:sz w:val="18"/>
              </w:rPr>
              <w:t>2.987552</w:t>
            </w:r>
          </w:p>
        </w:tc>
        <w:tc>
          <w:tcPr>
            <w:tcW w:type="dxa" w:w="1632"/>
            <w:vAlign w:val="center"/>
            <w:shd w:fill="FFFFFF"/>
          </w:tcPr>
          <w:p>
            <w:pPr>
              <w:spacing w:after="100" w:before="100"/>
            </w:pPr>
            <w:r>
              <w:rPr>
                <w:b w:val="0"/>
                <w:i w:val="0"/>
                <w:sz w:val="18"/>
              </w:rPr>
              <w:t>-0.0000625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ν12</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81">
        <w:r>
          <w:rPr>
            <w:color w:val="176EA4"/>
          </w:rPr>
          <w:t>MIT / David Roylance — Introduction to Composites </w:t>
        </w:r>
      </w:hyperlink>
      <w:r>
        <w:t xml:space="preserve"> </w:t>
      </w:r>
      <w:r>
        <w:rPr>
          <w:b w:val="0"/>
          <w:i w:val="0"/>
        </w:rPr>
        <w:t>Equations 1–3, printed pages 3–4</w:t>
      </w:r>
      <w:r>
        <w:rPr>
          <w:b w:val="0"/>
          <w:i w:val="0"/>
        </w:rPr>
        <w:t xml:space="preserve"> </w:t>
      </w:r>
      <w:r>
        <w:rPr>
          <w:b w:val="0"/>
          <w:i w:val="0"/>
        </w:rPr>
        <w:t xml:space="preserve">. </w:t>
      </w:r>
      <w:r>
        <w:rPr>
          <w:b w:val="0"/>
          <w:i w:val="0"/>
        </w:rPr>
        <w:t xml:space="preserve"> </w:t>
      </w:r>
      <w:r>
        <w:rPr>
          <w:b w:val="0"/>
          <w:i w:val="0"/>
        </w:rPr>
        <w:t>Published analytical equations; not experimental material validation.</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Guided optimization case study using shared database records. Configure the documented search in Optimize, then save its results and inputs. No precomputed optimum or benchmark-validation claim. Ideal continuous, aligned reinforcement with zero voids. This is a teaching comparison, not a measured material allowable.</w:t>
      </w:r>
    </w:p>
    <w:p>
      <w:pPr/>
      <w:hyperlink r:id="rId187">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Laminate optimization: minimum mass under axial loading</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0">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Guided optimization case study using shared database records. Configure the documented search in Optimize, then save its results and inputs. No precomputed optimum or benchmark-validation claim. ASTM-based teaching geometry, not certification. Grips, tabs, alignment and physical test validity are not simulated.</w:t>
      </w:r>
    </w:p>
    <w:p>
      <w:pPr/>
      <w:hyperlink r:id="rId188">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keepNext/>
      </w:pPr>
      <w:r>
        <w:rPr>
          <w:b/>
          <w:i w:val="0"/>
        </w:rPr>
        <w:t>Process optimization: cycle time and thermal uniformity</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Guided optimization case study using shared database records. Configure the documented search in Optimize, then save its results and inputs. No precomputed optimum or benchmark-validation claim. One-dimensional through-thickness transport; lateral heat loss and oven airflow are not resolved. Inspect linked cure settings before interpreting reaction heating.</w:t>
      </w:r>
    </w:p>
    <w:p>
      <w:pPr/>
      <w:hyperlink r:id="rId189">
        <w:r>
          <w:rPr>
            <w:color w:val="176EA4"/>
          </w:rPr>
          <w:t>Download source-validation evidence (JSON)</w:t>
        </w:r>
      </w:hyperlink>
      <w:r>
        <w:t xml:space="preserve"> </w:t>
      </w:r>
      <w:r>
        <w:rPr>
          <w:b w:val="0"/>
          <w:i w:val="0"/>
        </w:rPr>
        <w:t xml:space="preserve"> · </w:t>
      </w:r>
      <w:hyperlink r:id="rId76">
        <w:r>
          <w:rPr>
            <w:color w:val="176EA4"/>
          </w:rPr>
          <w:t>Full 104 -exercise study</w:t>
        </w:r>
      </w:hyperlink>
      <w:r>
        <w:t xml:space="preserve"> </w:t>
      </w:r>
    </w:p>
    <w:p>
      <w:pPr/>
      <w:hyperlink r:id="rId16">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0" w:name="chapter_10"/>
      <w:pPr>
        <w:pStyle w:val="Heading1"/>
        <w:pageBreakBefore/>
      </w:pPr>
      <w:r>
        <w:t>10 Navigate the Workbench workspace</w:t>
      </w:r>
      <w:bookmarkEnd w:id="10"/>
    </w:p>
    <w:p>
      <w:pPr>
        <w:pStyle w:val="Caption"/>
      </w:pPr>
      <w:hyperlink r:id="rId190">
        <w:r>
          <w:rPr>
            <w:color w:val="176EA4"/>
          </w:rPr>
          <w:t>Online chapter</w:t>
        </w:r>
      </w:hyperlink>
      <w:r>
        <w:t xml:space="preserve"> </w:t>
      </w:r>
    </w:p>
    <w:p>
      <w:pPr/>
      <w:r>
        <w:rPr>
          <w:b w:val="0"/>
          <w:i w:val="0"/>
        </w:rPr>
        <w:t>Understand the latest Project Manager, project tree, filters, record editor, and live connection summary.</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Explore the connected input path below. The dated GUI captures in the instructions show record controls; the current Simulation tab combines the earlier Solve and Summary views.</w:t>
      </w:r>
    </w:p>
    <w:p>
      <w:r>
        <w:t>Trace the selected input path</w:t>
      </w:r>
    </w:p>
    <w:p>
      <w:r>
        <w:t>Ply property source</w:t>
      </w:r>
    </w:p>
    <w:p>
      <w:r>
        <w:t>Include thermal analysis</w:t>
      </w:r>
    </w:p>
    <w:p>
      <w:r>
        <w:t>Include moisture analysis</w:t>
      </w:r>
    </w:p>
    <w:p>
      <w:r>
        <w:t>Include optional fatigue assessment</w:t>
      </w:r>
    </w:p>
    <w:p>
      <w:pPr/>
      <w:r>
        <w:rPr>
          <w:b w:val="0"/>
          <w:i w:val="0"/>
        </w:rPr>
        <w:t>Stored ply properties bypass Micro. Mixed stacks keep both paths. Gray blocks are not selected. Geometry, process schedules and other model records are omitted here for clarity; a real run must include all required references.</w:t>
      </w:r>
    </w:p>
    <w:p>
      <w:pPr/>
      <w:r>
        <w:rPr>
          <w:b w:val="0"/>
          <w:i w:val="0"/>
        </w:rPr>
        <w:t>Fatigue uses intact CLT endpoint stresses and measured S–N calibration. It is evaluated separately from Run and progressive failure. The dashed handoff is not active: optimization still uses current properties until a degradation law is supplied.</w:t>
      </w:r>
    </w:p>
    <w:p>
      <w:pPr>
        <w:keepNext w:val="0"/>
        <w:jc w:val="center"/>
      </w:pPr>
      <w:r>
        <w:drawing>
          <wp:inline xmlns:a="http://schemas.openxmlformats.org/drawingml/2006/main" xmlns:pic="http://schemas.openxmlformats.org/drawingml/2006/picture">
            <wp:extent cx="6217920" cy="1935767"/>
            <wp:docPr id="49" name="Picture 49" descr="CDS workflow or model illustration"/>
            <wp:cNvGraphicFramePr>
              <a:graphicFrameLocks noChangeAspect="1"/>
            </wp:cNvGraphicFramePr>
            <a:graphic>
              <a:graphicData uri="http://schemas.openxmlformats.org/drawingml/2006/picture">
                <pic:pic>
                  <pic:nvPicPr>
                    <pic:cNvPr id="0" name="rsvg-615023cf647a6b49632caca708c0ff60ff2cc31c35130238cbb49066f80dac56.png"/>
                    <pic:cNvPicPr/>
                  </pic:nvPicPr>
                  <pic:blipFill>
                    <a:blip r:embed="rId15"/>
                    <a:stretch>
                      <a:fillRect/>
                    </a:stretch>
                  </pic:blipFill>
                  <pic:spPr>
                    <a:xfrm>
                      <a:off x="0" y="0"/>
                      <a:ext cx="6217920" cy="1935767"/>
                    </a:xfrm>
                    <a:prstGeom prst="rect"/>
                  </pic:spPr>
                </pic:pic>
              </a:graphicData>
            </a:graphic>
          </wp:inline>
        </w:drawing>
      </w:r>
    </w:p>
    <w:p>
      <w:pPr/>
      <w:r>
        <w:rPr>
          <w:b w:val="0"/>
          <w:i w:val="0"/>
        </w:rPr>
        <w:t>Materials → Micro → Laminate.</w:t>
      </w:r>
    </w:p>
    <w:p>
      <w:pPr/>
      <w:hyperlink r:id="rId16">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Inspect the selected model in Live Sim</w:t>
      </w:r>
    </w:p>
    <w:p>
      <w:pPr/>
      <w:r>
        <w:rPr>
          <w:b w:val="0"/>
          <w:i w:val="0"/>
        </w:rPr>
        <w:t>SIMULATE opens with Live Sim, an input-driven view of the selected cases. The four selectors remain available above the scene. Switch to Blocks to manage candidate records and trace their connections.</w:t>
      </w:r>
    </w:p>
    <w:p>
      <w:pPr>
        <w:pStyle w:val="ListBullet"/>
      </w:pPr>
      <w:r>
        <w:rPr>
          <w:b w:val="0"/>
          <w:i w:val="0"/>
        </w:rPr>
        <w:t>Select Geometry, Laminate, a constituent or a case to inspect the inputs that are actually used. Clicking a used block heading also opens its Live Sim inspection.</w:t>
      </w:r>
    </w:p>
    <w:p>
      <w:pPr>
        <w:pStyle w:val="ListBullet"/>
      </w:pPr>
      <w:r>
        <w:rPr>
          <w:b w:val="0"/>
          <w:i w:val="0"/>
        </w:rPr>
        <w:t>Select a ply in the stack or geometry view to inspect its source. Micro-derived and stored-property plies are identified separately. Woven sources show the fabric unit-cell preview when applicable.</w:t>
      </w:r>
    </w:p>
    <w:p>
      <w:pPr>
        <w:pStyle w:val="ListBullet"/>
      </w:pPr>
      <w:r>
        <w:rPr>
          <w:b w:val="0"/>
          <w:i w:val="0"/>
        </w:rPr>
        <w:t>Select the Thermal or Moisture case to inspect its surface boundary schedule. Move the step slider to compare prescribed conditions. This is not a solved internal temperature or moisture field.</w:t>
      </w:r>
    </w:p>
    <w:p>
      <w:pPr>
        <w:pStyle w:val="ListBullet"/>
      </w:pPr>
      <w:r>
        <w:rPr>
          <w:b w:val="0"/>
          <w:i w:val="0"/>
        </w:rPr>
        <w:t>Use Edit input to open the source record. The scene follows the changed inputs; rerun the simulation before trusting previous results.</w:t>
      </w:r>
    </w:p>
    <w:p>
      <w:pPr>
        <w:keepNext/>
      </w:pPr>
      <w:r>
        <w:t>Good practice</w:t>
      </w:r>
    </w:p>
    <w:p>
      <w:pPr/>
      <w:r>
        <w:rPr>
          <w:b w:val="0"/>
          <w:i w:val="0"/>
        </w:rPr>
        <w:t>Geometry, ply bands and arrows are input illustrations, not a finite-element mesh or solved deformation. Display-only thickness enlargement and any model-specific visualization assumptions are identified in the preview.</w:t>
      </w:r>
    </w:p>
    <w:p>
      <w:pPr>
        <w:pStyle w:val="Heading2"/>
      </w:pPr>
      <w:r>
        <w:t>Use the current CASES database format</w:t>
      </w:r>
    </w:p>
    <w:p>
      <w:pPr/>
      <w:r>
        <w:rPr>
          <w:b w:val="0"/>
          <w:i w:val="0"/>
        </w:rPr>
        <w:t>This release reads and saves the current CASES database format only. Thermal and Moisture schedules are stored directly with their cases. There is no separate Process record or old-format migration on opening a file.</w:t>
      </w:r>
    </w:p>
    <w:p>
      <w:pPr>
        <w:pStyle w:val="ListBullet"/>
      </w:pPr>
      <w:r>
        <w:rPr>
          <w:b w:val="0"/>
          <w:i w:val="0"/>
        </w:rPr>
        <w:t>Download a current starter or exercise database from the library. Older-format files are rejected with a clear message rather than converted silently.</w:t>
      </w:r>
    </w:p>
    <w:p>
      <w:pPr>
        <w:pStyle w:val="ListBullet"/>
      </w:pPr>
      <w:r>
        <w:rPr>
          <w:b w:val="0"/>
          <w:i w:val="0"/>
        </w:rPr>
        <w:t>Save and reopen the current database to retain case selections, schedules, candidate records and editable names.</w:t>
      </w:r>
    </w:p>
    <w:p>
      <w:pPr>
        <w:pStyle w:val="ListBullet"/>
      </w:pPr>
      <w:r>
        <w:rPr>
          <w:b w:val="0"/>
          <w:i w:val="0"/>
        </w:rPr>
        <w:t>Missing folders, duplicate identifiers and cycles attached to absent cases prevent saving or opening. Blank physical inputs remain editable and must be completed before Run.</w:t>
      </w:r>
    </w:p>
    <w:p>
      <w:pPr>
        <w:keepNext/>
      </w:pPr>
      <w:r>
        <w:t>Good practice</w:t>
      </w:r>
    </w:p>
    <w:p>
      <w:pPr/>
      <w:r>
        <w:rPr>
          <w:b w:val="0"/>
          <w:i w:val="0"/>
        </w:rPr>
        <w:t>This change concerns Workbench database files only. It does not erase account, licensing or payment history.</w:t>
      </w:r>
    </w:p>
    <w:p>
      <w:pPr>
        <w:pStyle w:val="Heading2"/>
      </w:pPr>
      <w:r>
        <w:t>Choose the run in the SIMULATION block</w:t>
      </w:r>
    </w:p>
    <w:p>
      <w:pPr/>
      <w:r>
        <w:rPr>
          <w:b w:val="0"/>
          <w:i w:val="0"/>
        </w:rPr>
        <w:t>SIMULATION is the control point for the run. Select a Thermal case, Moisture case, Mechanical case and EM case, or None in any slot. Each selected case shows its analysis model, laminate and applicable geometry.</w:t>
      </w:r>
    </w:p>
    <w:p>
      <w:pPr>
        <w:pStyle w:val="ListBullet"/>
      </w:pPr>
      <w:r>
        <w:rPr>
          <w:b w:val="0"/>
          <w:i w:val="0"/>
        </w:rPr>
        <w:t>Keep candidate records in the surrounding blocks. Adding a candidate does not select it for execution.</w:t>
      </w:r>
    </w:p>
    <w:p>
      <w:pPr>
        <w:pStyle w:val="ListBullet"/>
      </w:pPr>
      <w:r>
        <w:rPr>
          <w:b w:val="0"/>
          <w:i w:val="0"/>
        </w:rPr>
        <w:t>Select the required cases in SIMULATION and review their inputs before Run. At least one case is required.</w:t>
      </w:r>
    </w:p>
    <w:p>
      <w:pPr>
        <w:pStyle w:val="ListBullet"/>
      </w:pPr>
      <w:r>
        <w:rPr>
          <w:b w:val="0"/>
          <w:i w:val="0"/>
        </w:rPr>
        <w:t>Use the same laminate for a supported combined run. Run standalone studies separately with the other selectors set to None.</w:t>
      </w:r>
    </w:p>
    <w:p>
      <w:pPr>
        <w:pStyle w:val="ListBullet"/>
      </w:pPr>
      <w:r>
        <w:rPr>
          <w:b w:val="0"/>
          <w:i w:val="0"/>
        </w:rPr>
        <w:t>Run executes the selected combination. A connection or Used marker is not evidence of a successful solve.</w:t>
      </w:r>
    </w:p>
    <w:p>
      <w:pPr>
        <w:keepNext/>
      </w:pPr>
      <w:r>
        <w:t>Good practice</w:t>
      </w:r>
    </w:p>
    <w:p>
      <w:pPr/>
      <w:r>
        <w:rPr>
          <w:b w:val="0"/>
          <w:i w:val="0"/>
        </w:rPr>
        <w:t>Selecting several cases does not add unsupported physics coupling. EM screening studies do not automatically heat the thermal case.</w:t>
      </w:r>
    </w:p>
    <w:p>
      <w:pPr>
        <w:pStyle w:val="Heading2"/>
      </w:pPr>
      <w:r>
        <w:t>Review every downstream geometry dependency</w:t>
      </w:r>
    </w:p>
    <w:p>
      <w:pPr/>
      <w:r>
        <w:rPr>
          <w:b w:val="0"/>
          <w:i w:val="0"/>
        </w:rPr>
        <w:t>A geometry record can be shared by several cases and simulations. Editing its dimensions or type affects all linked consumers, including studies that are not currently open. Unrelated records are unchanged.</w:t>
      </w:r>
    </w:p>
    <w:p>
      <w:pPr>
        <w:pStyle w:val="ListBullet"/>
      </w:pPr>
      <w:r>
        <w:rPr>
          <w:b w:val="0"/>
          <w:i w:val="0"/>
        </w:rPr>
        <w:t>After editing geometry, open Solver messages and expand Review affected cases and simulations. Select a linked name to inspect that record.</w:t>
      </w:r>
    </w:p>
    <w:p>
      <w:pPr>
        <w:pStyle w:val="ListBullet"/>
      </w:pPr>
      <w:r>
        <w:rPr>
          <w:b w:val="0"/>
          <w:i w:val="0"/>
        </w:rPr>
        <w:t>Check the selected model, load basis, dimensions and boundary conditions. Loads are not automatically replaced when the geometry changes.</w:t>
      </w:r>
    </w:p>
    <w:p>
      <w:pPr>
        <w:pStyle w:val="ListBullet"/>
      </w:pPr>
      <w:r>
        <w:rPr>
          <w:b w:val="0"/>
          <w:i w:val="0"/>
        </w:rPr>
        <w:t>Resolve incompatible geometry and model combinations before running. An I-section does not turn a plate theory into a beam theory.</w:t>
      </w:r>
    </w:p>
    <w:p>
      <w:pPr>
        <w:pStyle w:val="ListBullet"/>
      </w:pPr>
      <w:r>
        <w:rPr>
          <w:b w:val="0"/>
          <w:i w:val="0"/>
        </w:rPr>
        <w:t>Rerun affected simulations before relying on previous results. Inputs changed warnings indicate that stored results no longer match their connected inputs.</w:t>
      </w:r>
    </w:p>
    <w:p>
      <w:pPr>
        <w:keepNext/>
      </w:pPr>
      <w:r>
        <w:t>Good practice</w:t>
      </w:r>
    </w:p>
    <w:p>
      <w:pPr/>
      <w:r>
        <w:rPr>
          <w:b w:val="0"/>
          <w:i w:val="0"/>
        </w:rPr>
        <w:t>Geometry affects only dimensions consumed by the selected model. One-dimensional transport retains its through-thickness assumptions; standalone studies may own their dimensions. Under fixed total edge loads, changing plate width changes force per unit width. Under prescribed resultants, it does not.</w:t>
      </w:r>
    </w:p>
    <w:p>
      <w:pPr>
        <w:pStyle w:val="Heading2"/>
      </w:pPr>
      <w:r>
        <w:t>Build the simulation from interactive blocks</w:t>
      </w:r>
    </w:p>
    <w:p>
      <w:pPr/>
      <w:r>
        <w:rPr>
          <w:b w:val="0"/>
          <w:i w:val="0"/>
        </w:rPr>
        <w:t>Choose Block view above the left navigator for a vertical, editable workflow, or Blocks inside SIMULATE for the larger connection view. Live Sim inspects the selected model. Record dropdowns remain visible in Lite view.</w:t>
      </w:r>
    </w:p>
    <w:p>
      <w:pPr>
        <w:pStyle w:val="ListBullet"/>
      </w:pPr>
      <w:r>
        <w:rPr>
          <w:b w:val="0"/>
          <w:i w:val="0"/>
        </w:rPr>
        <w:t>Choose the active simulation, then select compatible materials, Micro recipes, laminates, geometry and cases inside its blocks. Hybrid laminates can retain both stored-material and solved-Micro ply sources.</w:t>
      </w:r>
    </w:p>
    <w:p>
      <w:pPr>
        <w:pStyle w:val="ListBullet"/>
      </w:pPr>
      <w:r>
        <w:rPr>
          <w:b w:val="0"/>
          <w:i w:val="0"/>
        </w:rPr>
        <w:t>Use the local Blocks Lite–Advanced switch for extra details without changing the rest of the workspace. Existing search and current-simulation filters still apply.</w:t>
      </w:r>
    </w:p>
    <w:p>
      <w:pPr>
        <w:pStyle w:val="ListBullet"/>
      </w:pPr>
      <w:r>
        <w:rPr>
          <w:b w:val="0"/>
          <w:i w:val="0"/>
        </w:rPr>
        <w:t>Use the side connections to trace the input path. Hide connections or pause their animation locally; reduced-motion preferences are respected. Animation indicates connection direction, not solver progress.</w:t>
      </w:r>
    </w:p>
    <w:p>
      <w:pPr>
        <w:keepNext/>
      </w:pPr>
      <w:r>
        <w:t>Good practice</w:t>
      </w:r>
    </w:p>
    <w:p>
      <w:pPr/>
      <w:r>
        <w:rPr>
          <w:b w:val="0"/>
          <w:i w:val="0"/>
        </w:rPr>
        <w:t>The current-simulation filter includes used dependencies and added candidate records, even when those candidates are not selected for the run. Show all to browse other allowed library records.</w:t>
      </w:r>
    </w:p>
    <w:p>
      <w:pPr>
        <w:pStyle w:val="Heading2"/>
      </w:pPr>
      <w:r>
        <w:t>Read the blue Used marker</w:t>
      </w:r>
    </w:p>
    <w:p>
      <w:pPr/>
      <w:r>
        <w:rPr>
          <w:b w:val="0"/>
          <w:i w:val="0"/>
        </w:rPr>
        <w:t>Connected, available record selections have a soft blue glow and a Used marker in the corner. Hover or focus the marker to see which downstream record and field uses that input.</w:t>
      </w:r>
    </w:p>
    <w:p>
      <w:pPr>
        <w:pStyle w:val="ListBullet"/>
      </w:pPr>
      <w:r>
        <w:rPr>
          <w:b w:val="0"/>
          <w:i w:val="0"/>
        </w:rPr>
        <w:t>Check the marker before editing a shared input: more than one case can consume it.</w:t>
      </w:r>
    </w:p>
    <w:p>
      <w:pPr>
        <w:pStyle w:val="ListBullet"/>
      </w:pPr>
      <w:r>
        <w:rPr>
          <w:b w:val="0"/>
          <w:i w:val="0"/>
        </w:rPr>
        <w:t>A Used marker means connected, not solved or validated. Review solver status and outdated-result warnings separately.</w:t>
      </w:r>
    </w:p>
    <w:p>
      <w:pPr>
        <w:pStyle w:val="ListBullet"/>
      </w:pPr>
      <w:r>
        <w:rPr>
          <w:b w:val="0"/>
          <w:i w:val="0"/>
        </w:rPr>
        <w:t>Missing or incompatible selections need repair; do not interpret an empty result as zero response.</w:t>
      </w:r>
    </w:p>
    <w:p>
      <w:pPr>
        <w:pStyle w:val="Heading2"/>
      </w:pPr>
      <w:r>
        <w:t>Add replace or disconnect a block input</w:t>
      </w:r>
    </w:p>
    <w:p>
      <w:pPr/>
      <w:r>
        <w:rPr>
          <w:b w:val="0"/>
          <w:i w:val="0"/>
        </w:rPr>
        <w:t>The + control adds another available record to a block, excluding records already present. Use that record row dropdown to change the candidate, its link to open it, and − to remove it from the block. Library records are not deleted.</w:t>
      </w:r>
    </w:p>
    <w:p>
      <w:pPr>
        <w:pStyle w:val="ListBullet"/>
      </w:pPr>
      <w:r>
        <w:rPr>
          <w:b w:val="0"/>
          <w:i w:val="0"/>
        </w:rPr>
        <w:t>Choose + and search for a compatible candidate not already in the block. Decide what actually runs with the four selectors in SIMULATION.</w:t>
      </w:r>
    </w:p>
    <w:p>
      <w:pPr>
        <w:pStyle w:val="ListBullet"/>
      </w:pPr>
      <w:r>
        <w:rPr>
          <w:b w:val="0"/>
          <w:i w:val="0"/>
        </w:rPr>
        <w:t>If no compatible record exists, create one in Inputs. Each case owns its analysis model and applicable cycle. There is no separate Process block to connect.</w:t>
      </w:r>
    </w:p>
    <w:p>
      <w:pPr>
        <w:pStyle w:val="ListBullet"/>
      </w:pPr>
      <w:r>
        <w:rPr>
          <w:b w:val="0"/>
          <w:i w:val="0"/>
        </w:rPr>
        <w:t>A used input must first be disconnected or changed at its consuming field. Review downstream warnings before confirming a removal; cancel to keep it.</w:t>
      </w:r>
    </w:p>
    <w:p>
      <w:pPr>
        <w:pStyle w:val="ListBullet"/>
      </w:pPr>
      <w:r>
        <w:rPr>
          <w:b w:val="0"/>
          <w:i w:val="0"/>
        </w:rPr>
        <w:t>After removal, required missing inputs remain flagged and their selectors allow reconnection. Optional cases may stay disconnected. Rerun affected analyses before relying on their results.</w:t>
      </w:r>
    </w:p>
    <w:p>
      <w:pPr>
        <w:keepNext/>
      </w:pPr>
      <w:r>
        <w:t>Good practice</w:t>
      </w:r>
    </w:p>
    <w:p>
      <w:pPr/>
      <w:r>
        <w:rPr>
          <w:b w:val="0"/>
          <w:i w:val="0"/>
        </w:rPr>
        <w:t>Disconnecting a shared laminate input may affect several cases. Removing a ply-source connection preserves the other ply sources, angles and thicknesses; it does not delete the ply stack.</w:t>
      </w:r>
    </w:p>
    <w:p>
      <w:pPr>
        <w:pStyle w:val="Heading2"/>
      </w:pPr>
      <w:r>
        <w:t>Keep starter laminates in one classification</w:t>
      </w:r>
    </w:p>
    <w:p>
      <w:pPr/>
      <w:r>
        <w:rPr>
          <w:b w:val="0"/>
          <w:i w:val="0"/>
        </w:rPr>
        <w:t>Generated Standard starter Conventional Laminates folders are consolidated into the main Conventional Laminates folder. Distinct laminate record IDs and their simulation links are preserved; identical titles alone are not a reason to delete a record.</w:t>
      </w:r>
    </w:p>
    <w:p>
      <w:pPr>
        <w:keepNext/>
      </w:pPr>
      <w:r>
        <w:t>Good practice</w:t>
      </w:r>
    </w:p>
    <w:p>
      <w:pPr/>
      <w:r>
        <w:rPr>
          <w:b w:val="0"/>
          <w:i w:val="0"/>
        </w:rPr>
        <w:t>Custom folders and exercise collections remain separate. Save the workspace to retain its cleaned organization in your local database.</w:t>
      </w:r>
    </w:p>
    <w:p>
      <w:pPr>
        <w:pStyle w:val="Heading2"/>
      </w:pPr>
      <w:r>
        <w:t>Project Manager</w:t>
      </w:r>
    </w:p>
    <w:p>
      <w:pPr/>
      <w:r>
        <w:rPr>
          <w:b w:val="0"/>
          <w:i w:val="0"/>
        </w:rPr>
        <w:t>The Project Manager at the upper left combines navigation actions with the selected record’s context menu. Use it for create, open, save, load, export, and settings actions.</w:t>
      </w:r>
    </w:p>
    <w:p>
      <w:pPr>
        <w:pStyle w:val="ListBullet"/>
      </w:pPr>
      <w:r>
        <w:rPr>
          <w:b w:val="0"/>
          <w:i w:val="0"/>
        </w:rPr>
        <w:t>Select a tree item first.</w:t>
      </w:r>
    </w:p>
    <w:p>
      <w:pPr>
        <w:pStyle w:val="ListBullet"/>
      </w:pPr>
      <w:r>
        <w:rPr>
          <w:b w:val="0"/>
          <w:i w:val="0"/>
        </w:rPr>
        <w:t>Open Project Manager.</w:t>
      </w:r>
    </w:p>
    <w:p>
      <w:pPr>
        <w:pStyle w:val="ListBullet"/>
      </w:pPr>
      <w:r>
        <w:rPr>
          <w:b w:val="0"/>
          <w:i w:val="0"/>
        </w:rPr>
        <w:t>Confirm the action scope: selected record, subtree, or entire database.</w:t>
      </w:r>
    </w:p>
    <w:p>
      <w:pPr>
        <w:pStyle w:val="ListBullet"/>
      </w:pPr>
      <w:r>
        <w:rPr>
          <w:b w:val="0"/>
          <w:i w:val="0"/>
        </w:rPr>
        <w:t>Choose the required action.</w:t>
      </w:r>
    </w:p>
    <w:p>
      <w:pPr>
        <w:pStyle w:val="Heading2"/>
      </w:pPr>
      <w:r>
        <w:t>Compact project tree</w:t>
      </w:r>
    </w:p>
    <w:p>
      <w:pPr/>
      <w:r>
        <w:rPr>
          <w:b w:val="0"/>
          <w:i w:val="0"/>
        </w:rPr>
        <w:t>The left tree follows the engineering data chain: Materials, Micromechanics, Laminates, Geometry, CASES and Simulations. CASES contains Thermal, Moisture, Mechanical and EM records, each with its own applicable cycle. A single click selects a row; its chevron expands or closes its children.</w:t>
      </w:r>
    </w:p>
    <w:p>
      <w:pPr>
        <w:keepNext/>
        <w:jc w:val="center"/>
      </w:pPr>
      <w:r>
        <w:drawing>
          <wp:inline xmlns:a="http://schemas.openxmlformats.org/drawingml/2006/main" xmlns:pic="http://schemas.openxmlformats.org/drawingml/2006/picture">
            <wp:extent cx="6217920" cy="4304354"/>
            <wp:docPr id="50" name="Picture 50" descr="The left tree organizes modeling records; its chevrons expand classes and its rows select records."/>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21"/>
                    <a:stretch>
                      <a:fillRect/>
                    </a:stretch>
                  </pic:blipFill>
                  <pic:spPr>
                    <a:xfrm>
                      <a:off x="0" y="0"/>
                      <a:ext cx="6217920" cy="4304354"/>
                    </a:xfrm>
                    <a:prstGeom prst="rect"/>
                  </pic:spPr>
                </pic:pic>
              </a:graphicData>
            </a:graphic>
          </wp:inline>
        </w:drawing>
      </w:r>
    </w:p>
    <w:p>
      <w:pPr>
        <w:pStyle w:val="Caption"/>
      </w:pPr>
      <w:r>
        <w:rPr>
          <w:b w:val="0"/>
          <w:i w:val="0"/>
        </w:rPr>
        <w:t>The left tree organizes modeling records; its chevrons expand classes and its rows select records.</w:t>
      </w:r>
      <w:r>
        <w:rPr>
          <w:b w:val="0"/>
          <w:i w:val="0"/>
        </w:rPr>
        <w:t xml:space="preserve"> </w:t>
      </w:r>
      <w:r>
        <w:rPr>
          <w:b w:val="0"/>
          <w:i w:val="0"/>
        </w:rPr>
        <w:t xml:space="preserve"> </w:t>
      </w:r>
      <w:hyperlink r:id="rId22">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Selecting the Materials heading no longer sends every material to the plot; choose one or more actual material records for comparison.</w:t>
      </w:r>
    </w:p>
    <w:p>
      <w:pPr>
        <w:pStyle w:val="Heading2"/>
      </w:pPr>
      <w:r>
        <w:t>Search filter and visibility</w:t>
      </w:r>
    </w:p>
    <w:p>
      <w:pPr/>
      <w:r>
        <w:rPr>
          <w:b w:val="0"/>
          <w:i w:val="0"/>
        </w:rPr>
        <w:t>Search locates records by title or descriptor. The All records dropdown and type filters narrow the visible records while preserving the primary tree. The eye control switches between the current simulation's records and all allowed records. Current simulation includes available candidates you added, even when they are not yet Used by the selected run.</w:t>
      </w:r>
    </w:p>
    <w:p>
      <w:pPr>
        <w:pStyle w:val="ListBullet"/>
      </w:pPr>
      <w:r>
        <w:rPr>
          <w:b w:val="0"/>
          <w:i w:val="0"/>
        </w:rPr>
        <w:t>Enter a search term or choose a type filter.</w:t>
      </w:r>
      <w:r>
        <w:rPr>
          <w:b w:val="0"/>
          <w:i w:val="0"/>
        </w:rPr>
        <w:t xml:space="preserve"> </w:t>
      </w:r>
      <w:r>
        <w:rPr>
          <w:b w:val="0"/>
          <w:i w:val="0"/>
        </w:rPr>
        <w:t xml:space="preserve"> </w:t>
      </w:r>
      <w:hyperlink r:id="rId191">
        <w:r>
          <w:rPr>
            <w:color w:val="176EA4"/>
          </w:rPr>
          <w:t>See screenshot</w:t>
        </w:r>
      </w:hyperlink>
      <w:r>
        <w:t xml:space="preserve"> </w:t>
      </w:r>
    </w:p>
    <w:p>
      <w:pPr>
        <w:pStyle w:val="ListBullet"/>
      </w:pPr>
      <w:r>
        <w:rPr>
          <w:b w:val="0"/>
          <w:i w:val="0"/>
        </w:rPr>
        <w:t>Look for the blue active-filter treatment.</w:t>
      </w:r>
    </w:p>
    <w:p>
      <w:pPr>
        <w:pStyle w:val="ListBullet"/>
      </w:pPr>
      <w:r>
        <w:rPr>
          <w:b w:val="0"/>
          <w:i w:val="0"/>
        </w:rPr>
        <w:t>Review Workspace filtered result.</w:t>
      </w:r>
    </w:p>
    <w:p>
      <w:pPr>
        <w:pStyle w:val="ListBullet"/>
      </w:pPr>
      <w:r>
        <w:rPr>
          <w:b w:val="0"/>
          <w:i w:val="0"/>
        </w:rPr>
        <w:t>Clear search and filter to restore the full tree.</w:t>
      </w:r>
      <w:r>
        <w:rPr>
          <w:b w:val="0"/>
          <w:i w:val="0"/>
        </w:rPr>
        <w:t xml:space="preserve"> </w:t>
      </w:r>
      <w:r>
        <w:rPr>
          <w:b w:val="0"/>
          <w:i w:val="0"/>
        </w:rPr>
        <w:t xml:space="preserve"> </w:t>
      </w:r>
      <w:hyperlink r:id="rId191">
        <w:r>
          <w:rPr>
            <w:color w:val="176EA4"/>
          </w:rPr>
          <w:t>See screenshot</w:t>
        </w:r>
      </w:hyperlink>
      <w:r>
        <w:t xml:space="preserve"> </w:t>
      </w:r>
    </w:p>
    <w:p>
      <w:pPr>
        <w:keepNext/>
        <w:jc w:val="center"/>
      </w:pPr>
      <w:r>
        <w:drawing>
          <wp:inline xmlns:a="http://schemas.openxmlformats.org/drawingml/2006/main" xmlns:pic="http://schemas.openxmlformats.org/drawingml/2006/picture">
            <wp:extent cx="6217920" cy="4304354"/>
            <wp:docPr id="51" name="Picture 51" descr="Search, the All filter and visibility control sit directly above the tree."/>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21"/>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1, 4</w:t>
      </w:r>
      <w:r>
        <w:rPr>
          <w:b/>
          <w:i w:val="0"/>
        </w:rPr>
        <w:t xml:space="preserve"> </w:t>
      </w:r>
      <w:r>
        <w:rPr>
          <w:b/>
          <w:i w:val="0"/>
        </w:rPr>
        <w:t xml:space="preserve"> · </w:t>
      </w:r>
      <w:r>
        <w:rPr>
          <w:b w:val="0"/>
          <w:i w:val="0"/>
        </w:rPr>
        <w:t>Search, the All filter and visibility control sit directly above the tree.</w:t>
      </w:r>
      <w:r>
        <w:rPr>
          <w:b w:val="0"/>
          <w:i w:val="0"/>
        </w:rPr>
        <w:t xml:space="preserve"> </w:t>
      </w:r>
      <w:r>
        <w:rPr>
          <w:b w:val="0"/>
          <w:i w:val="0"/>
        </w:rPr>
        <w:t xml:space="preserve"> </w:t>
      </w:r>
      <w:hyperlink r:id="rId22">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pStyle w:val="Heading2"/>
      </w:pPr>
      <w:r>
        <w:t>Expand or contract the tree</w:t>
      </w:r>
    </w:p>
    <w:p>
      <w:pPr/>
      <w:r>
        <w:rPr>
          <w:b w:val="0"/>
          <w:i w:val="0"/>
        </w:rPr>
        <w:t>Workspace overview and its tree controls remain above the scrolling records. The open-book icon expands all; the closed-book icon collapses all. The arrows expand or contract one level.</w:t>
      </w:r>
    </w:p>
    <w:p>
      <w:pPr>
        <w:keepNext/>
      </w:pPr>
      <w:r>
        <w:t>Good practice</w:t>
      </w:r>
    </w:p>
    <w:p>
      <w:pPr/>
      <w:r>
        <w:rPr>
          <w:b w:val="0"/>
          <w:i w:val="0"/>
        </w:rPr>
        <w:t>Clear a text search before using the expansion controls. Structural models contain nested CLT/FSDT, cylinder, failure, fatigue and related submodels; nesting does not imply solver compatibility.</w:t>
      </w:r>
    </w:p>
    <w:p>
      <w:pPr>
        <w:pStyle w:val="Heading2"/>
      </w:pPr>
      <w:r>
        <w:t>Selected record editor</w:t>
      </w:r>
    </w:p>
    <w:p>
      <w:pPr/>
      <w:r>
        <w:rPr>
          <w:b w:val="0"/>
          <w:i w:val="0"/>
        </w:rPr>
        <w:t>Selecting an item opens its property editor. Compact tables show property names, descriptions, values, units and lock state. Predicted micromechanics and laminate properties remain read-only indicators; edit their connected source inputs instead.</w:t>
      </w:r>
    </w:p>
    <w:p>
      <w:pPr>
        <w:keepNext/>
        <w:jc w:val="center"/>
      </w:pPr>
      <w:r>
        <w:drawing>
          <wp:inline xmlns:a="http://schemas.openxmlformats.org/drawingml/2006/main" xmlns:pic="http://schemas.openxmlformats.org/drawingml/2006/picture">
            <wp:extent cx="6217920" cy="4304354"/>
            <wp:docPr id="52" name="Picture 52" descr="The selected record editor occupies the upper pane; units and locks are beside each value."/>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21"/>
                    <a:stretch>
                      <a:fillRect/>
                    </a:stretch>
                  </pic:blipFill>
                  <pic:spPr>
                    <a:xfrm>
                      <a:off x="0" y="0"/>
                      <a:ext cx="6217920" cy="4304354"/>
                    </a:xfrm>
                    <a:prstGeom prst="rect"/>
                  </pic:spPr>
                </pic:pic>
              </a:graphicData>
            </a:graphic>
          </wp:inline>
        </w:drawing>
      </w:r>
    </w:p>
    <w:p>
      <w:pPr>
        <w:pStyle w:val="Caption"/>
      </w:pPr>
      <w:r>
        <w:rPr>
          <w:b w:val="0"/>
          <w:i w:val="0"/>
        </w:rPr>
        <w:t>The selected record editor occupies the upper pane; units and locks are beside each value.</w:t>
      </w:r>
      <w:r>
        <w:rPr>
          <w:b w:val="0"/>
          <w:i w:val="0"/>
        </w:rPr>
        <w:t xml:space="preserve"> </w:t>
      </w:r>
      <w:r>
        <w:rPr>
          <w:b w:val="0"/>
          <w:i w:val="0"/>
        </w:rPr>
        <w:t xml:space="preserve"> </w:t>
      </w:r>
      <w:hyperlink r:id="rId22">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pStyle w:val="Heading2"/>
      </w:pPr>
      <w:r>
        <w:t>Simulation workflow and scene controls</w:t>
      </w:r>
    </w:p>
    <w:p>
      <w:pPr/>
      <w:r>
        <w:rPr>
          <w:b w:val="0"/>
          <w:i w:val="0"/>
        </w:rPr>
        <w:t>The Simulation tab combines the connected inputs and model workflow. Use Titles, Details, Table and zoom to fit it; Show data and Show model workflow reveal separate layers. The first click focuses a block and the next opens its record.</w:t>
      </w:r>
    </w:p>
    <w:p>
      <w:pPr>
        <w:pStyle w:val="ListBullet"/>
      </w:pPr>
      <w:r>
        <w:rPr>
          <w:b w:val="0"/>
          <w:i w:val="0"/>
        </w:rPr>
        <w:t>Use the searchable simulation selector above the left tree to change the active case.</w:t>
      </w:r>
    </w:p>
    <w:p>
      <w:pPr>
        <w:pStyle w:val="ListBullet"/>
      </w:pPr>
      <w:r>
        <w:rPr>
          <w:b w:val="0"/>
          <w:i w:val="0"/>
        </w:rPr>
        <w:t>Use the global Lite–Advanced switch for the workspace, or a local switch for one area.</w:t>
      </w:r>
    </w:p>
    <w:p>
      <w:pPr>
        <w:pStyle w:val="ListBullet"/>
      </w:pPr>
      <w:r>
        <w:rPr>
          <w:b w:val="0"/>
          <w:i w:val="0"/>
        </w:rPr>
        <w:t>Inputs, Split and Outputs allocate pane space. Back and Forward revisit scenes, not previous data values.</w:t>
      </w:r>
    </w:p>
    <w:p>
      <w:pPr>
        <w:pStyle w:val="ListBullet"/>
      </w:pPr>
      <w:r>
        <w:rPr>
          <w:b w:val="0"/>
          <w:i w:val="0"/>
        </w:rPr>
        <w:t>Use the visible Solver status to distinguish live updates, Run required and outdated results.</w:t>
      </w:r>
    </w:p>
    <w:p>
      <w:pPr>
        <w:keepNext/>
        <w:jc w:val="center"/>
      </w:pPr>
      <w:r>
        <w:drawing>
          <wp:inline xmlns:a="http://schemas.openxmlformats.org/drawingml/2006/main" xmlns:pic="http://schemas.openxmlformats.org/drawingml/2006/picture">
            <wp:extent cx="6217920" cy="4897347"/>
            <wp:docPr id="53" name="Picture 53" descr="Review linked inputs in Simulation (shown as Solve in this capture) before using Run."/>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27"/>
                    <a:stretch>
                      <a:fillRect/>
                    </a:stretch>
                  </pic:blipFill>
                  <pic:spPr>
                    <a:xfrm>
                      <a:off x="0" y="0"/>
                      <a:ext cx="6217920" cy="4897347"/>
                    </a:xfrm>
                    <a:prstGeom prst="rect"/>
                  </pic:spPr>
                </pic:pic>
              </a:graphicData>
            </a:graphic>
          </wp:inline>
        </w:drawing>
      </w:r>
    </w:p>
    <w:p>
      <w:pPr>
        <w:pStyle w:val="Caption"/>
      </w:pPr>
      <w:r>
        <w:rPr>
          <w:b w:val="0"/>
          <w:i w:val="0"/>
        </w:rPr>
        <w:t>Review linked inputs in Simulation (shown as Solve in this capture) before using Run.</w:t>
      </w:r>
      <w:r>
        <w:rPr>
          <w:b w:val="0"/>
          <w:i w:val="0"/>
        </w:rPr>
        <w:t xml:space="preserve"> </w:t>
      </w:r>
      <w:r>
        <w:rPr>
          <w:b w:val="0"/>
          <w:i w:val="0"/>
        </w:rPr>
        <w:t xml:space="preserve"> </w:t>
      </w:r>
      <w:hyperlink r:id="rId28">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pStyle w:val="Heading2"/>
      </w:pPr>
      <w:r>
        <w:t>Results workspace</w:t>
      </w:r>
    </w:p>
    <w:p>
      <w:pPr/>
      <w:r>
        <w:rPr>
          <w:b w:val="0"/>
          <w:i w:val="0"/>
        </w:rPr>
        <w:t>Materials, Micromechanics, and Laminates use the same four result views: Table, Ashby, Bar, and Line. The active tab is clearly highlighted. A single selected record shows its property view; multiple selected records use properties as rows and records as columns.</w:t>
      </w:r>
    </w:p>
    <w:p>
      <w:pPr>
        <w:keepNext/>
        <w:jc w:val="center"/>
      </w:pPr>
      <w:r>
        <w:drawing>
          <wp:inline xmlns:a="http://schemas.openxmlformats.org/drawingml/2006/main" xmlns:pic="http://schemas.openxmlformats.org/drawingml/2006/picture">
            <wp:extent cx="6217920" cy="4304354"/>
            <wp:docPr id="54" name="Picture 54" descr="The lower pane contains output selection, comparison table, chart controls and the plot."/>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21"/>
                    <a:stretch>
                      <a:fillRect/>
                    </a:stretch>
                  </pic:blipFill>
                  <pic:spPr>
                    <a:xfrm>
                      <a:off x="0" y="0"/>
                      <a:ext cx="6217920" cy="4304354"/>
                    </a:xfrm>
                    <a:prstGeom prst="rect"/>
                  </pic:spPr>
                </pic:pic>
              </a:graphicData>
            </a:graphic>
          </wp:inline>
        </w:drawing>
      </w:r>
    </w:p>
    <w:p>
      <w:pPr>
        <w:pStyle w:val="Caption"/>
      </w:pPr>
      <w:r>
        <w:rPr>
          <w:b w:val="0"/>
          <w:i w:val="0"/>
        </w:rPr>
        <w:t>The lower pane contains output selection, comparison table, chart controls and the plot.</w:t>
      </w:r>
      <w:r>
        <w:rPr>
          <w:b w:val="0"/>
          <w:i w:val="0"/>
        </w:rPr>
        <w:t xml:space="preserve"> </w:t>
      </w:r>
      <w:r>
        <w:rPr>
          <w:b w:val="0"/>
          <w:i w:val="0"/>
        </w:rPr>
        <w:t xml:space="preserve"> </w:t>
      </w:r>
      <w:hyperlink r:id="rId22">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Choose actual records from the tree or selection menu. Category headings organize the data but are not plot-all shortcuts.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sectPr w:rsidR="00FC693F" w:rsidRPr="0006063C" w:rsidSect="00034616">
      <w:footerReference w:type="default" r:id="rId9"/>
      <w:pgSz w:w="12240" w:h="15840"/>
      <w:pgMar w:top="1008"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CDS Composites    |    Complete User Guide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mbria" w:hAnsi="Cambria"/>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cstheme="majorBidi" w:ascii="Cambria" w:hAnsi="Cambria"/>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cstheme="majorBidi" w:ascii="Cambria" w:hAnsi="Cambria"/>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cstheme="majorBidi" w:ascii="Cambria" w:hAnsi="Cambria"/>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cstheme="majorBidi" w:ascii="Cambria" w:hAnsi="Cambria"/>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40"/>
    </w:pPr>
    <w:rPr>
      <w:rFonts w:ascii="Cambria" w:hAnsi="Cambria"/>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cdscomposites.com/getting-started" TargetMode="External"/><Relationship Id="rId11" Type="http://schemas.openxmlformats.org/officeDocument/2006/relationships/hyperlink" Target="https://cdscomposites.com/workflow/models" TargetMode="External"/><Relationship Id="rId12" Type="http://schemas.openxmlformats.org/officeDocument/2006/relationships/hyperlink" Target="https://cdscomposites.com/account/library" TargetMode="External"/><Relationship Id="rId13" Type="http://schemas.openxmlformats.org/officeDocument/2006/relationships/hyperlink" Target="https://cdscomposites.com/getting-started/connected-workbench" TargetMode="External"/><Relationship Id="rId14" Type="http://schemas.openxmlformats.org/officeDocument/2006/relationships/hyperlink" Target="https://cdscomposites.com/getting-started/failure-optimization" TargetMode="External"/><Relationship Id="rId15" Type="http://schemas.openxmlformats.org/officeDocument/2006/relationships/image" Target="media/image1.png"/><Relationship Id="rId16" Type="http://schemas.openxmlformats.org/officeDocument/2006/relationships/hyperlink" Target="https://cdscomposites.com/getting-started/exercises" TargetMode="External"/><Relationship Id="rId17" Type="http://schemas.openxmlformats.org/officeDocument/2006/relationships/hyperlink" Target="https://cdscomposites.com/getting-started/connected-workbench#start-screen-0" TargetMode="External"/><Relationship Id="rId18" Type="http://schemas.openxmlformats.org/officeDocument/2006/relationships/hyperlink" Target="https://cdscomposites.com/getting-started/connected-workbench#start-screen-1" TargetMode="External"/><Relationship Id="rId19" Type="http://schemas.openxmlformats.org/officeDocument/2006/relationships/hyperlink" Target="https://cdscomposites.com/getting-started/connected-workbench#start-screen-2" TargetMode="External"/><Relationship Id="rId20" Type="http://schemas.openxmlformats.org/officeDocument/2006/relationships/hyperlink" Target="https://cdscomposites.com/getting-started/connected-workbench#start-screen-3" TargetMode="External"/><Relationship Id="rId21" Type="http://schemas.openxmlformats.org/officeDocument/2006/relationships/image" Target="media/image2.png"/><Relationship Id="rId22" Type="http://schemas.openxmlformats.org/officeDocument/2006/relationships/hyperlink" Target="https://cdscomposites.com/images/workbench/day-material-record-20260910.jpg" TargetMode="External"/><Relationship Id="rId23" Type="http://schemas.openxmlformats.org/officeDocument/2006/relationships/image" Target="media/image3.png"/><Relationship Id="rId24" Type="http://schemas.openxmlformats.org/officeDocument/2006/relationships/hyperlink" Target="https://cdscomposites.com/images/workbench/manual-micro.jpg" TargetMode="External"/><Relationship Id="rId25" Type="http://schemas.openxmlformats.org/officeDocument/2006/relationships/image" Target="media/image4.png"/><Relationship Id="rId26" Type="http://schemas.openxmlformats.org/officeDocument/2006/relationships/hyperlink" Target="https://cdscomposites.com/images/workbench/day-laminate-20260910.jpg" TargetMode="External"/><Relationship Id="rId27" Type="http://schemas.openxmlformats.org/officeDocument/2006/relationships/image" Target="media/image5.png"/><Relationship Id="rId28" Type="http://schemas.openxmlformats.org/officeDocument/2006/relationships/hyperlink" Target="https://cdscomposites.com/images/workbench/manual-simulation.jpg" TargetMode="External"/><Relationship Id="rId29" Type="http://schemas.openxmlformats.org/officeDocument/2006/relationships/hyperlink" Target="https://cdscomposites.com/getting-started/connected-workbench#sync-screen-0" TargetMode="External"/><Relationship Id="rId30" Type="http://schemas.openxmlformats.org/officeDocument/2006/relationships/hyperlink" Target="https://cdscomposites.com/getting-started/connected-workbench#provenance-screen-0" TargetMode="External"/><Relationship Id="rId31" Type="http://schemas.openxmlformats.org/officeDocument/2006/relationships/hyperlink" Target="https://cdscomposites.com/getting-started/connected-workbench#tree-studies-screen-0" TargetMode="External"/><Relationship Id="rId32" Type="http://schemas.openxmlformats.org/officeDocument/2006/relationships/image" Target="media/image6.png"/><Relationship Id="rId33" Type="http://schemas.openxmlformats.org/officeDocument/2006/relationships/hyperlink" Target="https://cdscomposites.com/images/workbench/manual-record-menu.jpg" TargetMode="External"/><Relationship Id="rId34" Type="http://schemas.openxmlformats.org/officeDocument/2006/relationships/hyperlink" Target="https://cdscomposites.com/getting-started/connected-workbench#layup-screen-0" TargetMode="External"/><Relationship Id="rId35" Type="http://schemas.openxmlformats.org/officeDocument/2006/relationships/hyperlink" Target="https://cdscomposites.com/getting-started/connected-workbench#process-screen-0" TargetMode="External"/><Relationship Id="rId36" Type="http://schemas.openxmlformats.org/officeDocument/2006/relationships/hyperlink" Target="https://cdscomposites.com/getting-started/connected-workbench#process-screen-1" TargetMode="External"/><Relationship Id="rId37" Type="http://schemas.openxmlformats.org/officeDocument/2006/relationships/image" Target="media/image7.png"/><Relationship Id="rId38" Type="http://schemas.openxmlformats.org/officeDocument/2006/relationships/hyperlink" Target="https://cdscomposites.com/images/workbench/manual-process-cycle.jpg" TargetMode="External"/><Relationship Id="rId39" Type="http://schemas.openxmlformats.org/officeDocument/2006/relationships/image" Target="media/image8.png"/><Relationship Id="rId40" Type="http://schemas.openxmlformats.org/officeDocument/2006/relationships/hyperlink" Target="https://cdscomposites.com/images/workbench/manual-load.jpg" TargetMode="External"/><Relationship Id="rId41" Type="http://schemas.openxmlformats.org/officeDocument/2006/relationships/hyperlink" Target="https://cdscomposites.com/help/laminates/workbench-methods" TargetMode="External"/><Relationship Id="rId42" Type="http://schemas.openxmlformats.org/officeDocument/2006/relationships/hyperlink" Target="https://cdscomposites.com/getting-started/failure-optimization#response-screen-0" TargetMode="External"/><Relationship Id="rId43" Type="http://schemas.openxmlformats.org/officeDocument/2006/relationships/image" Target="media/image9.png"/><Relationship Id="rId44" Type="http://schemas.openxmlformats.org/officeDocument/2006/relationships/hyperlink" Target="https://cdscomposites.com/images/workbench/manual-stress.jpg" TargetMode="External"/><Relationship Id="rId45" Type="http://schemas.openxmlformats.org/officeDocument/2006/relationships/hyperlink" Target="https://cdscomposites.com/getting-started/failure-optimization#carpet-screen-0" TargetMode="External"/><Relationship Id="rId46" Type="http://schemas.openxmlformats.org/officeDocument/2006/relationships/hyperlink" Target="https://cdscomposites.com/getting-started/failure-optimization#carpet-screen-1" TargetMode="External"/><Relationship Id="rId47" Type="http://schemas.openxmlformats.org/officeDocument/2006/relationships/image" Target="media/image10.png"/><Relationship Id="rId48" Type="http://schemas.openxmlformats.org/officeDocument/2006/relationships/hyperlink" Target="https://cdscomposites.com/images/workbench/manual-carpet-2d.jpg" TargetMode="External"/><Relationship Id="rId49" Type="http://schemas.openxmlformats.org/officeDocument/2006/relationships/image" Target="media/image11.png"/><Relationship Id="rId50" Type="http://schemas.openxmlformats.org/officeDocument/2006/relationships/hyperlink" Target="https://cdscomposites.com/images/workbench/manual-carpet-3d.jpg" TargetMode="External"/><Relationship Id="rId51" Type="http://schemas.openxmlformats.org/officeDocument/2006/relationships/hyperlink" Target="https://cdscomposites.com/getting-started/interface-controls" TargetMode="External"/><Relationship Id="rId52" Type="http://schemas.openxmlformats.org/officeDocument/2006/relationships/hyperlink" Target="https://cdscomposites.com/getting-started/laminas-laminates" TargetMode="External"/><Relationship Id="rId53" Type="http://schemas.openxmlformats.org/officeDocument/2006/relationships/image" Target="media/image12.png"/><Relationship Id="rId54" Type="http://schemas.openxmlformats.org/officeDocument/2006/relationships/hyperlink" Target="https://cdscomposites.com/getting-started/laminas-laminates#create-lamina-screen-0" TargetMode="External"/><Relationship Id="rId55" Type="http://schemas.openxmlformats.org/officeDocument/2006/relationships/image" Target="media/image13.png"/><Relationship Id="rId56" Type="http://schemas.openxmlformats.org/officeDocument/2006/relationships/hyperlink" Target="https://cdscomposites.com/images/workbench/fabric-unit-cell-20260917.png" TargetMode="External"/><Relationship Id="rId57" Type="http://schemas.openxmlformats.org/officeDocument/2006/relationships/hyperlink" Target="https://cdscomposites.com/getting-started/materials" TargetMode="External"/><Relationship Id="rId58" Type="http://schemas.openxmlformats.org/officeDocument/2006/relationships/hyperlink" Target="https://cdscomposites.com/getting-started/materials#add-materials-screen-1" TargetMode="External"/><Relationship Id="rId59" Type="http://schemas.openxmlformats.org/officeDocument/2006/relationships/image" Target="media/image14.png"/><Relationship Id="rId60" Type="http://schemas.openxmlformats.org/officeDocument/2006/relationships/hyperlink" Target="https://cdscomposites.com/images/workbench/manual-material-menu.jpg" TargetMode="External"/><Relationship Id="rId61" Type="http://schemas.openxmlformats.org/officeDocument/2006/relationships/hyperlink" Target="https://cdscomposites.com/getting-started/materials#edit-properties-screen-0" TargetMode="External"/><Relationship Id="rId62" Type="http://schemas.openxmlformats.org/officeDocument/2006/relationships/hyperlink" Target="https://cdscomposites.com/getting-started/materials#organize-materials-screen-0" TargetMode="External"/><Relationship Id="rId63" Type="http://schemas.openxmlformats.org/officeDocument/2006/relationships/hyperlink" Target="https://cdscomposites.com/getting-started/materials#duplicate-delete-screen-0" TargetMode="External"/><Relationship Id="rId64" Type="http://schemas.openxmlformats.org/officeDocument/2006/relationships/hyperlink" Target="https://cdscomposites.com/getting-started/materials#right-click-options-screen-0" TargetMode="External"/><Relationship Id="rId65" Type="http://schemas.openxmlformats.org/officeDocument/2006/relationships/hyperlink" Target="https://cdscomposites.com/getting-started/process-simulations" TargetMode="External"/><Relationship Id="rId66" Type="http://schemas.openxmlformats.org/officeDocument/2006/relationships/image" Target="media/image15.png"/><Relationship Id="rId67" Type="http://schemas.openxmlformats.org/officeDocument/2006/relationships/hyperlink" Target="https://cdscomposites.com/getting-started/process-simulations#cycle-table-screen-0" TargetMode="External"/><Relationship Id="rId68" Type="http://schemas.openxmlformats.org/officeDocument/2006/relationships/hyperlink" Target="https://cdscomposites.com/getting-started/process-simulations#run-case-screen-0" TargetMode="External"/><Relationship Id="rId69" Type="http://schemas.openxmlformats.org/officeDocument/2006/relationships/hyperlink" Target="https://cdscomposites.com/getting-started/process-simulations#cure-coupling-screen-0" TargetMode="External"/><Relationship Id="rId70" Type="http://schemas.openxmlformats.org/officeDocument/2006/relationships/image" Target="media/image16.png"/><Relationship Id="rId71" Type="http://schemas.openxmlformats.org/officeDocument/2006/relationships/hyperlink" Target="https://cdscomposites.com/images/workbench/manual-process-optimize.jpg" TargetMode="External"/><Relationship Id="rId72" Type="http://schemas.openxmlformats.org/officeDocument/2006/relationships/hyperlink" Target="https://cdscomposites.com/getting-started/process-simulations#process-optimization-screen-0" TargetMode="External"/><Relationship Id="rId73" Type="http://schemas.openxmlformats.org/officeDocument/2006/relationships/hyperlink" Target="https://cdscomposites.com/getting-started/quick-start" TargetMode="External"/><Relationship Id="rId74" Type="http://schemas.openxmlformats.org/officeDocument/2006/relationships/hyperlink" Target="https://cdscomposites.com/getting-started/quick-start#first-edit-screen-0" TargetMode="External"/><Relationship Id="rId75" Type="http://schemas.openxmlformats.org/officeDocument/2006/relationships/hyperlink" Target="https://cdscomposites.com/getting-started/quick-start#run-review-screen-0" TargetMode="External"/><Relationship Id="rId76" Type="http://schemas.openxmlformats.org/officeDocument/2006/relationships/hyperlink" Target="https://cdscomposites.com/getting-started/validation" TargetMode="External"/><Relationship Id="rId77" Type="http://schemas.openxmlformats.org/officeDocument/2006/relationships/hyperlink" Target="https://cdscomposites.com/api/validation/exercises" TargetMode="External"/><Relationship Id="rId78" Type="http://schemas.openxmlformats.org/officeDocument/2006/relationships/hyperlink" Target="https://cdscomposites.com/api/validation/exercises?exercise=02-hybrid" TargetMode="External"/><Relationship Id="rId79" Type="http://schemas.openxmlformats.org/officeDocument/2006/relationships/hyperlink" Target="https://cdscomposites.com/api/validation/exercises?exercise=02-short-fiber" TargetMode="External"/><Relationship Id="rId80" Type="http://schemas.openxmlformats.org/officeDocument/2006/relationships/hyperlink" Target="https://ocw.mit.edu/courses/3-11-mechanics-of-materials-fall-1999/f193c908ec10d95c0bc67c904b65397a_MIT3_11F99_laminates.pdf" TargetMode="External"/><Relationship Id="rId81" Type="http://schemas.openxmlformats.org/officeDocument/2006/relationships/hyperlink" Target="https://ocw.mit.edu/courses/3-11-mechanics-of-materials-fall-1999/e87276d20858aa3dc64aae71b04d7486_MIT3_11F99_composites.pdf" TargetMode="External"/><Relationship Id="rId82" Type="http://schemas.openxmlformats.org/officeDocument/2006/relationships/hyperlink" Target="https://cdscomposites.com/api/validation/exercises?exercise=01-rom" TargetMode="External"/><Relationship Id="rId83" Type="http://schemas.openxmlformats.org/officeDocument/2006/relationships/hyperlink" Target="https://cdscomposites.com/api/validation/exercises?exercise=02-halpin" TargetMode="External"/><Relationship Id="rId84" Type="http://schemas.openxmlformats.org/officeDocument/2006/relationships/hyperlink" Target="https://cdscomposites.com/api/validation/exercises?exercise=03-layup" TargetMode="External"/><Relationship Id="rId85" Type="http://schemas.openxmlformats.org/officeDocument/2006/relationships/hyperlink" Target="https://cdscomposites.com/api/validation/exercises?exercise=04-shear" TargetMode="External"/><Relationship Id="rId86" Type="http://schemas.openxmlformats.org/officeDocument/2006/relationships/hyperlink" Target="https://ocw.mit.edu/courses/3-11-mechanics-of-materials-fall-1999/13534abb67b86d2fb8ee11a1f4f2b8c4_MIT3_11F99_bdisp.pdf" TargetMode="External"/><Relationship Id="rId87" Type="http://schemas.openxmlformats.org/officeDocument/2006/relationships/hyperlink" Target="https://cdscomposites.com/api/validation/exercises?exercise=05-flexure" TargetMode="External"/><Relationship Id="rId88" Type="http://schemas.openxmlformats.org/officeDocument/2006/relationships/hyperlink" Target="https://ocw.mit.edu/courses/3-11-mechanics-of-materials-fall-1999/082fcd712adffa589a670f9f8dfdd49a_MIT3_11F99_pv.pdf" TargetMode="External"/><Relationship Id="rId89" Type="http://schemas.openxmlformats.org/officeDocument/2006/relationships/hyperlink" Target="https://cdscomposites.com/api/validation/exercises?exercise=06-pressure" TargetMode="External"/><Relationship Id="rId90" Type="http://schemas.openxmlformats.org/officeDocument/2006/relationships/hyperlink" Target="https://cdscomposites.com/api/validation/exercises?exercise=07-thermal" TargetMode="External"/><Relationship Id="rId91" Type="http://schemas.openxmlformats.org/officeDocument/2006/relationships/hyperlink" Target="https://cdscomposites.com/api/validation/exercises?exercise=08-moisture" TargetMode="External"/><Relationship Id="rId92" Type="http://schemas.openxmlformats.org/officeDocument/2006/relationships/hyperlink" Target="https://cdscomposites.com/api/validation/exercises?exercise=09-bond" TargetMode="External"/><Relationship Id="rId93" Type="http://schemas.openxmlformats.org/officeDocument/2006/relationships/hyperlink" Target="https://cdscomposites.com/api/validation/exercises?exercise=10-coupled" TargetMode="External"/><Relationship Id="rId94" Type="http://schemas.openxmlformats.org/officeDocument/2006/relationships/hyperlink" Target="https://ntrs.nasa.gov/api/citations/20160001347/downloads/20160001347.pdf" TargetMode="External"/><Relationship Id="rId95" Type="http://schemas.openxmlformats.org/officeDocument/2006/relationships/hyperlink" Target="https://cdscomposites.com/api/validation/exercises?exercise=case-lamina-analysis" TargetMode="External"/><Relationship Id="rId96" Type="http://schemas.openxmlformats.org/officeDocument/2006/relationships/hyperlink" Target="https://ntrs.nasa.gov/api/citations/20140006740/downloads/20140006740.pdf?attachment=true" TargetMode="External"/><Relationship Id="rId97" Type="http://schemas.openxmlformats.org/officeDocument/2006/relationships/hyperlink" Target="https://cdscomposites.com/api/validation/exercises?exercise=case-laminate-design" TargetMode="External"/><Relationship Id="rId98" Type="http://schemas.openxmlformats.org/officeDocument/2006/relationships/hyperlink" Target="https://ntrs.nasa.gov/citations/20200000350" TargetMode="External"/><Relationship Id="rId99" Type="http://schemas.openxmlformats.org/officeDocument/2006/relationships/hyperlink" Target="https://cdscomposites.com/api/validation/exercises?exercise=case-process-cure" TargetMode="External"/><Relationship Id="rId100" Type="http://schemas.openxmlformats.org/officeDocument/2006/relationships/hyperlink" Target="https://ntrs.nasa.gov/citations/19940020114" TargetMode="External"/><Relationship Id="rId101" Type="http://schemas.openxmlformats.org/officeDocument/2006/relationships/hyperlink" Target="https://cdscomposites.com/api/validation/exercises?exercise=case-structural-pressure" TargetMode="External"/><Relationship Id="rId102" Type="http://schemas.openxmlformats.org/officeDocument/2006/relationships/hyperlink" Target="https://cdscomposites.com/api/validation/exercises?exercise=07-pultrusion-intro" TargetMode="External"/><Relationship Id="rId103" Type="http://schemas.openxmlformats.org/officeDocument/2006/relationships/hyperlink" Target="https://cdscomposites.com/api/validation/exercises?exercise=07-pultrusion-zones" TargetMode="External"/><Relationship Id="rId104" Type="http://schemas.openxmlformats.org/officeDocument/2006/relationships/hyperlink" Target="https://cdscomposites.com/api/validation/exercises?exercise=07-uv-cure" TargetMode="External"/><Relationship Id="rId105" Type="http://schemas.openxmlformats.org/officeDocument/2006/relationships/hyperlink" Target="https://cdscomposites.com/api/validation/exercises?exercise=simulation-01" TargetMode="External"/><Relationship Id="rId106" Type="http://schemas.openxmlformats.org/officeDocument/2006/relationships/hyperlink" Target="https://cdscomposites.com/api/validation/exercises?exercise=simulation-02" TargetMode="External"/><Relationship Id="rId107" Type="http://schemas.openxmlformats.org/officeDocument/2006/relationships/hyperlink" Target="https://cdscomposites.com/api/validation/exercises?exercise=simulation-03" TargetMode="External"/><Relationship Id="rId108" Type="http://schemas.openxmlformats.org/officeDocument/2006/relationships/hyperlink" Target="https://cdscomposites.com/api/validation/exercises?exercise=simulation-04" TargetMode="External"/><Relationship Id="rId109" Type="http://schemas.openxmlformats.org/officeDocument/2006/relationships/hyperlink" Target="https://cdscomposites.com/api/validation/exercises?exercise=simulation-05" TargetMode="External"/><Relationship Id="rId110" Type="http://schemas.openxmlformats.org/officeDocument/2006/relationships/hyperlink" Target="https://cdscomposites.com/api/validation/exercises?exercise=simulation-06" TargetMode="External"/><Relationship Id="rId111" Type="http://schemas.openxmlformats.org/officeDocument/2006/relationships/hyperlink" Target="https://cdscomposites.com/api/validation/exercises?exercise=simulation-07" TargetMode="External"/><Relationship Id="rId112" Type="http://schemas.openxmlformats.org/officeDocument/2006/relationships/hyperlink" Target="https://cdscomposites.com/api/validation/exercises?exercise=simulation-08" TargetMode="External"/><Relationship Id="rId113" Type="http://schemas.openxmlformats.org/officeDocument/2006/relationships/hyperlink" Target="https://cdscomposites.com/api/validation/exercises?exercise=simulation-09" TargetMode="External"/><Relationship Id="rId114" Type="http://schemas.openxmlformats.org/officeDocument/2006/relationships/hyperlink" Target="https://cdscomposites.com/api/validation/exercises?exercise=simulation-10" TargetMode="External"/><Relationship Id="rId115" Type="http://schemas.openxmlformats.org/officeDocument/2006/relationships/hyperlink" Target="https://cdscomposites.com/api/validation/exercises?exercise=simulation-11" TargetMode="External"/><Relationship Id="rId116" Type="http://schemas.openxmlformats.org/officeDocument/2006/relationships/hyperlink" Target="https://cdscomposites.com/api/validation/exercises?exercise=simulation-12" TargetMode="External"/><Relationship Id="rId117" Type="http://schemas.openxmlformats.org/officeDocument/2006/relationships/hyperlink" Target="https://cdscomposites.com/api/validation/exercises?exercise=simulation-13" TargetMode="External"/><Relationship Id="rId118" Type="http://schemas.openxmlformats.org/officeDocument/2006/relationships/hyperlink" Target="https://cdscomposites.com/api/validation/exercises?exercise=simulation-14" TargetMode="External"/><Relationship Id="rId119" Type="http://schemas.openxmlformats.org/officeDocument/2006/relationships/hyperlink" Target="https://cdscomposites.com/api/validation/exercises?exercise=simulation-15" TargetMode="External"/><Relationship Id="rId120" Type="http://schemas.openxmlformats.org/officeDocument/2006/relationships/hyperlink" Target="https://cdscomposites.com/api/validation/exercises?exercise=simulation-16" TargetMode="External"/><Relationship Id="rId121" Type="http://schemas.openxmlformats.org/officeDocument/2006/relationships/hyperlink" Target="https://cdscomposites.com/api/validation/exercises?exercise=simulation-17" TargetMode="External"/><Relationship Id="rId122" Type="http://schemas.openxmlformats.org/officeDocument/2006/relationships/hyperlink" Target="https://cdscomposites.com/api/validation/exercises?exercise=simulation-18" TargetMode="External"/><Relationship Id="rId123" Type="http://schemas.openxmlformats.org/officeDocument/2006/relationships/hyperlink" Target="https://cdscomposites.com/api/validation/exercises?exercise=simulation-19" TargetMode="External"/><Relationship Id="rId124" Type="http://schemas.openxmlformats.org/officeDocument/2006/relationships/hyperlink" Target="https://cdscomposites.com/api/validation/exercises?exercise=simulation-20" TargetMode="External"/><Relationship Id="rId125" Type="http://schemas.openxmlformats.org/officeDocument/2006/relationships/hyperlink" Target="https://cdscomposites.com/api/validation/exercises?exercise=converted-ply-ea5f46e7a9" TargetMode="External"/><Relationship Id="rId126" Type="http://schemas.openxmlformats.org/officeDocument/2006/relationships/hyperlink" Target="https://cdscomposites.com/api/validation/exercises?exercise=converted-ply-02fbff1700" TargetMode="External"/><Relationship Id="rId127" Type="http://schemas.openxmlformats.org/officeDocument/2006/relationships/hyperlink" Target="https://cdscomposites.com/api/validation/exercises?exercise=converted-ply-57752928ab" TargetMode="External"/><Relationship Id="rId128" Type="http://schemas.openxmlformats.org/officeDocument/2006/relationships/hyperlink" Target="https://cdscomposites.com/api/validation/exercises?exercise=converted-ply-c5784299d8" TargetMode="External"/><Relationship Id="rId129" Type="http://schemas.openxmlformats.org/officeDocument/2006/relationships/hyperlink" Target="https://cdscomposites.com/api/validation/exercises?exercise=converted-layup-0554244948" TargetMode="External"/><Relationship Id="rId130" Type="http://schemas.openxmlformats.org/officeDocument/2006/relationships/hyperlink" Target="https://cdscomposites.com/api/validation/exercises?exercise=converted-layup-a52a5ff06d" TargetMode="External"/><Relationship Id="rId131" Type="http://schemas.openxmlformats.org/officeDocument/2006/relationships/hyperlink" Target="https://cdscomposites.com/api/validation/exercises?exercise=converted-layup-f25493b32a" TargetMode="External"/><Relationship Id="rId132" Type="http://schemas.openxmlformats.org/officeDocument/2006/relationships/hyperlink" Target="https://cdscomposites.com/api/validation/exercises?exercise=converted-layup-2ac9ccf9ec" TargetMode="External"/><Relationship Id="rId133" Type="http://schemas.openxmlformats.org/officeDocument/2006/relationships/hyperlink" Target="https://cdscomposites.com/api/validation/exercises?exercise=converted-layup-e24774e9ca" TargetMode="External"/><Relationship Id="rId134" Type="http://schemas.openxmlformats.org/officeDocument/2006/relationships/hyperlink" Target="https://cdscomposites.com/api/validation/exercises?exercise=converted-ply-01a9daf337" TargetMode="External"/><Relationship Id="rId135" Type="http://schemas.openxmlformats.org/officeDocument/2006/relationships/hyperlink" Target="https://cdscomposites.com/api/validation/exercises?exercise=converted-ply-a55fce3095" TargetMode="External"/><Relationship Id="rId136" Type="http://schemas.openxmlformats.org/officeDocument/2006/relationships/hyperlink" Target="https://cdscomposites.com/api/validation/exercises?exercise=converted-ply-a6a0eeb90a" TargetMode="External"/><Relationship Id="rId137" Type="http://schemas.openxmlformats.org/officeDocument/2006/relationships/hyperlink" Target="https://cdscomposites.com/api/validation/exercises?exercise=converted-ply-1b70537ea7" TargetMode="External"/><Relationship Id="rId138" Type="http://schemas.openxmlformats.org/officeDocument/2006/relationships/hyperlink" Target="https://cdscomposites.com/api/validation/exercises?exercise=converted-layup-ba5183518c" TargetMode="External"/><Relationship Id="rId139" Type="http://schemas.openxmlformats.org/officeDocument/2006/relationships/hyperlink" Target="https://cdscomposites.com/api/validation/exercises?exercise=converted-layup-4420318f9b" TargetMode="External"/><Relationship Id="rId140" Type="http://schemas.openxmlformats.org/officeDocument/2006/relationships/hyperlink" Target="https://cdscomposites.com/api/validation/exercises?exercise=converted-layup-998750897d" TargetMode="External"/><Relationship Id="rId141" Type="http://schemas.openxmlformats.org/officeDocument/2006/relationships/hyperlink" Target="https://cdscomposites.com/api/validation/exercises?exercise=converted-layup-810221d34d" TargetMode="External"/><Relationship Id="rId142" Type="http://schemas.openxmlformats.org/officeDocument/2006/relationships/hyperlink" Target="https://cdscomposites.com/api/validation/exercises?exercise=converted-layup-4ffd13f121" TargetMode="External"/><Relationship Id="rId143" Type="http://schemas.openxmlformats.org/officeDocument/2006/relationships/hyperlink" Target="https://cdscomposites.com/api/validation/exercises?exercise=converted-layup-c0ae1461f2" TargetMode="External"/><Relationship Id="rId144" Type="http://schemas.openxmlformats.org/officeDocument/2006/relationships/hyperlink" Target="https://cdscomposites.com/api/validation/exercises?exercise=converted-layup-571d1017c9" TargetMode="External"/><Relationship Id="rId145" Type="http://schemas.openxmlformats.org/officeDocument/2006/relationships/hyperlink" Target="https://cdscomposites.com/api/validation/exercises?exercise=converted-layup-df1b49e9e2" TargetMode="External"/><Relationship Id="rId146" Type="http://schemas.openxmlformats.org/officeDocument/2006/relationships/hyperlink" Target="https://cdscomposites.com/api/validation/exercises?exercise=converted-layup-a3cc615593" TargetMode="External"/><Relationship Id="rId147" Type="http://schemas.openxmlformats.org/officeDocument/2006/relationships/hyperlink" Target="https://cdscomposites.com/api/validation/exercises?exercise=converted-analysis-f528b12cc8" TargetMode="External"/><Relationship Id="rId148" Type="http://schemas.openxmlformats.org/officeDocument/2006/relationships/hyperlink" Target="https://cdscomposites.com/api/validation/exercises?exercise=converted-analysis-a680929a91" TargetMode="External"/><Relationship Id="rId149" Type="http://schemas.openxmlformats.org/officeDocument/2006/relationships/hyperlink" Target="https://cdscomposites.com/api/validation/exercises?exercise=converted-analysis-1c1f358336" TargetMode="External"/><Relationship Id="rId150" Type="http://schemas.openxmlformats.org/officeDocument/2006/relationships/hyperlink" Target="https://cdscomposites.com/api/validation/exercises?exercise=fsdt-01" TargetMode="External"/><Relationship Id="rId151" Type="http://schemas.openxmlformats.org/officeDocument/2006/relationships/hyperlink" Target="https://cdscomposites.com/api/validation/exercises?exercise=fsdt-02" TargetMode="External"/><Relationship Id="rId152" Type="http://schemas.openxmlformats.org/officeDocument/2006/relationships/hyperlink" Target="https://cdscomposites.com/api/validation/exercises?exercise=fsdt-03" TargetMode="External"/><Relationship Id="rId153" Type="http://schemas.openxmlformats.org/officeDocument/2006/relationships/hyperlink" Target="https://cdscomposites.com/api/validation/exercises?exercise=fsdt-04" TargetMode="External"/><Relationship Id="rId154" Type="http://schemas.openxmlformats.org/officeDocument/2006/relationships/hyperlink" Target="https://cdscomposites.com/api/validation/exercises?exercise=fsdt-05" TargetMode="External"/><Relationship Id="rId155" Type="http://schemas.openxmlformats.org/officeDocument/2006/relationships/hyperlink" Target="https://cdscomposites.com/api/validation/exercises?exercise=fsdt-06" TargetMode="External"/><Relationship Id="rId156" Type="http://schemas.openxmlformats.org/officeDocument/2006/relationships/hyperlink" Target="https://cdscomposites.com/api/validation/exercises?exercise=advanced-astm_compression" TargetMode="External"/><Relationship Id="rId157" Type="http://schemas.openxmlformats.org/officeDocument/2006/relationships/hyperlink" Target="https://cdscomposites.com/api/validation/exercises?exercise=advanced-astm_shear" TargetMode="External"/><Relationship Id="rId158" Type="http://schemas.openxmlformats.org/officeDocument/2006/relationships/hyperlink" Target="https://cdscomposites.com/api/validation/exercises?exercise=advanced-astm_dcb" TargetMode="External"/><Relationship Id="rId159" Type="http://schemas.openxmlformats.org/officeDocument/2006/relationships/hyperlink" Target="https://cdscomposites.com/api/validation/exercises?exercise=advanced-astm_enf" TargetMode="External"/><Relationship Id="rId160" Type="http://schemas.openxmlformats.org/officeDocument/2006/relationships/hyperlink" Target="https://cdscomposites.com/api/validation/exercises?exercise=advanced-astm_mmb" TargetMode="External"/><Relationship Id="rId161" Type="http://schemas.openxmlformats.org/officeDocument/2006/relationships/hyperlink" Target="https://cdscomposites.com/api/validation/exercises?exercise=advanced-astm_conditioning" TargetMode="External"/><Relationship Id="rId162" Type="http://schemas.openxmlformats.org/officeDocument/2006/relationships/hyperlink" Target="https://cdscomposites.com/api/validation/exercises?exercise=advanced-astm_bearing" TargetMode="External"/><Relationship Id="rId163" Type="http://schemas.openxmlformats.org/officeDocument/2006/relationships/hyperlink" Target="https://cdscomposites.com/api/validation/exercises?exercise=advanced-astm_ohc" TargetMode="External"/><Relationship Id="rId164" Type="http://schemas.openxmlformats.org/officeDocument/2006/relationships/hyperlink" Target="https://cdscomposites.com/api/validation/exercises?exercise=advanced-astm_filled" TargetMode="External"/><Relationship Id="rId165" Type="http://schemas.openxmlformats.org/officeDocument/2006/relationships/hyperlink" Target="https://cdscomposites.com/api/validation/exercises?exercise=advanced-astm_impact_cai" TargetMode="External"/><Relationship Id="rId166" Type="http://schemas.openxmlformats.org/officeDocument/2006/relationships/hyperlink" Target="https://cdscomposites.com/api/validation/exercises?exercise=advanced-em_wiener" TargetMode="External"/><Relationship Id="rId167" Type="http://schemas.openxmlformats.org/officeDocument/2006/relationships/hyperlink" Target="https://cdscomposites.com/api/validation/exercises?exercise=advanced-em_looyenga" TargetMode="External"/><Relationship Id="rId168" Type="http://schemas.openxmlformats.org/officeDocument/2006/relationships/hyperlink" Target="https://cdscomposites.com/api/validation/exercises?exercise=advanced-em_maxwell-garnett" TargetMode="External"/><Relationship Id="rId169" Type="http://schemas.openxmlformats.org/officeDocument/2006/relationships/hyperlink" Target="https://cdscomposites.com/api/validation/exercises?exercise=advanced-em_tmm-normal" TargetMode="External"/><Relationship Id="rId170" Type="http://schemas.openxmlformats.org/officeDocument/2006/relationships/hyperlink" Target="https://cdscomposites.com/api/validation/exercises?exercise=advanced-em_bruggeman" TargetMode="External"/><Relationship Id="rId171" Type="http://schemas.openxmlformats.org/officeDocument/2006/relationships/hyperlink" Target="https://cdscomposites.com/api/validation/exercises?exercise=advanced-em_mori-tanaka" TargetMode="External"/><Relationship Id="rId172" Type="http://schemas.openxmlformats.org/officeDocument/2006/relationships/hyperlink" Target="https://cdscomposites.com/api/validation/exercises?exercise=advanced-em_self-consistent" TargetMode="External"/><Relationship Id="rId173" Type="http://schemas.openxmlformats.org/officeDocument/2006/relationships/hyperlink" Target="https://cdscomposites.com/api/validation/exercises?exercise=advanced-em_dem" TargetMode="External"/><Relationship Id="rId174" Type="http://schemas.openxmlformats.org/officeDocument/2006/relationships/hyperlink" Target="https://cdscomposites.com/api/validation/exercises?exercise=advanced-em_coated" TargetMode="External"/><Relationship Id="rId175" Type="http://schemas.openxmlformats.org/officeDocument/2006/relationships/hyperlink" Target="https://cdscomposites.com/api/validation/exercises?exercise=advanced-em_multiphase" TargetMode="External"/><Relationship Id="rId176" Type="http://schemas.openxmlformats.org/officeDocument/2006/relationships/hyperlink" Target="https://cdscomposites.com/api/validation/exercises?exercise=advanced-em_tmm-oblique" TargetMode="External"/><Relationship Id="rId177" Type="http://schemas.openxmlformats.org/officeDocument/2006/relationships/hyperlink" Target="https://cdscomposites.com/api/validation/exercises?exercise=advanced-em_tlm" TargetMode="External"/><Relationship Id="rId178" Type="http://schemas.openxmlformats.org/officeDocument/2006/relationships/hyperlink" Target="https://cdscomposites.com/api/validation/exercises?exercise=advanced-em_bloch" TargetMode="External"/><Relationship Id="rId179" Type="http://schemas.openxmlformats.org/officeDocument/2006/relationships/hyperlink" Target="https://cdscomposites.com/api/validation/exercises?exercise=advanced-notch" TargetMode="External"/><Relationship Id="rId180" Type="http://schemas.openxmlformats.org/officeDocument/2006/relationships/hyperlink" Target="https://cdscomposites.com/api/validation/exercises?exercise=advanced-viscoelastic" TargetMode="External"/><Relationship Id="rId181" Type="http://schemas.openxmlformats.org/officeDocument/2006/relationships/hyperlink" Target="https://cdscomposites.com/api/validation/exercises?exercise=advanced-bonded_joint" TargetMode="External"/><Relationship Id="rId182" Type="http://schemas.openxmlformats.org/officeDocument/2006/relationships/hyperlink" Target="https://cdscomposites.com/api/validation/exercises?exercise=advanced-larc04" TargetMode="External"/><Relationship Id="rId183" Type="http://schemas.openxmlformats.org/officeDocument/2006/relationships/hyperlink" Target="https://cdscomposites.com/api/validation/exercises?exercise=advanced-cure_shape" TargetMode="External"/><Relationship Id="rId184" Type="http://schemas.openxmlformats.org/officeDocument/2006/relationships/hyperlink" Target="https://cdscomposites.com/api/validation/exercises?exercise=advanced-fatigue_residual" TargetMode="External"/><Relationship Id="rId185" Type="http://schemas.openxmlformats.org/officeDocument/2006/relationships/hyperlink" Target="https://cdscomposites.com/api/validation/exercises?exercise=advanced-shell_buckling" TargetMode="External"/><Relationship Id="rId186" Type="http://schemas.openxmlformats.org/officeDocument/2006/relationships/hyperlink" Target="https://cdscomposites.com/api/validation/exercises?exercise=advanced-uncertainty" TargetMode="External"/><Relationship Id="rId187" Type="http://schemas.openxmlformats.org/officeDocument/2006/relationships/hyperlink" Target="https://cdscomposites.com/api/validation/exercises?exercise=optimization-01" TargetMode="External"/><Relationship Id="rId188" Type="http://schemas.openxmlformats.org/officeDocument/2006/relationships/hyperlink" Target="https://cdscomposites.com/api/validation/exercises?exercise=optimization-02" TargetMode="External"/><Relationship Id="rId189" Type="http://schemas.openxmlformats.org/officeDocument/2006/relationships/hyperlink" Target="https://cdscomposites.com/api/validation/exercises?exercise=optimization-03" TargetMode="External"/><Relationship Id="rId190" Type="http://schemas.openxmlformats.org/officeDocument/2006/relationships/hyperlink" Target="https://cdscomposites.com/getting-started/workbench" TargetMode="External"/><Relationship Id="rId191" Type="http://schemas.openxmlformats.org/officeDocument/2006/relationships/hyperlink" Target="https://cdscomposites.com/getting-started/workbench#search-filter-screen-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User Guide</dc:title>
  <dc:subject/>
  <dc:creator>CDS Composites</dc:creator>
  <cp:keywords/>
  <dc:description>generated by python-docx</dc:description>
  <cp:lastModifiedBy/>
  <cp:revision>1</cp:revision>
  <dcterms:created xsi:type="dcterms:W3CDTF">2013-12-23T23:15:00Z</dcterms:created>
  <dcterms:modified xsi:type="dcterms:W3CDTF">2013-12-23T23:15:00Z</dcterms:modified>
  <cp:category/>
</cp:coreProperties>
</file>