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Models Workflow Manual</w:t>
      </w:r>
    </w:p>
    <w:p>
      <w:r>
        <w:t>Release edition 20 September 2026</w:t>
      </w:r>
    </w:p>
    <w:p>
      <w:r>
        <w:t>This manual explains which records and model choices supply each calculation in CDS. Follow the workflow from constituents through micromechanics and laminate definition to the applicable load and response. Thermal, moisture and electromagnetic studies have distinct input requirements; a link in the workflow must reflect an actual dependency, not an assumed coupling.</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Fully integrated Micro to Macro Engineering.</w:t>
        </w:r>
      </w:hyperlink>
    </w:p>
    <w:p>
      <w:hyperlink w:anchor="chapter_2">
        <w:r>
          <w:t>2  Turn model output into repeatable engineering results.</w:t>
        </w:r>
      </w:hyperlink>
    </w:p>
    <w:p>
      <w:hyperlink w:anchor="chapter_3">
        <w:r>
          <w:t>3  Connect engineering work through the CDS cloud.</w:t>
        </w:r>
      </w:hyperlink>
    </w:p>
    <w:p>
      <w:hyperlink w:anchor="chapter_4">
        <w:r>
          <w:t>4  Evaluate the complete composite structure.</w:t>
        </w:r>
      </w:hyperlink>
    </w:p>
    <w:p>
      <w:hyperlink w:anchor="chapter_5">
        <w:r>
          <w:t>5  Turn ply definitions into laminate decisions.</w:t>
        </w:r>
      </w:hyperlink>
    </w:p>
    <w:p>
      <w:hyperlink w:anchor="chapter_6">
        <w:r>
          <w:t>6  Build a trusted materials foundation.</w:t>
        </w:r>
      </w:hyperlink>
    </w:p>
    <w:p>
      <w:hyperlink w:anchor="chapter_7">
        <w:r>
          <w:t>7  Translate constituents into effective material behavior.</w:t>
        </w:r>
      </w:hyperlink>
    </w:p>
    <w:p>
      <w:hyperlink w:anchor="chapter_8">
        <w:r>
          <w:t>8  Models you can use. Connections you can follow.</w:t>
        </w:r>
      </w:hyperlink>
    </w:p>
    <w:p>
      <w:hyperlink w:anchor="chapter_9">
        <w:r>
          <w:t>9  Connect design intent to process behavior.</w:t>
        </w:r>
      </w:hyperlink>
    </w:p>
    <w:p>
      <w:bookmarkStart w:id="1" w:name="chapter_1"/>
      <w:pPr>
        <w:pStyle w:val="Heading1"/>
        <w:pageBreakBefore/>
      </w:pPr>
      <w:r>
        <w:t>1 Fully integrated Micro to Macro Engineering</w:t>
      </w:r>
      <w:bookmarkEnd w:id="1"/>
    </w:p>
    <w:p>
      <w:pPr>
        <w:pStyle w:val="Caption"/>
      </w:pPr>
      <w:hyperlink r:id="rId10">
        <w:r>
          <w:rPr>
            <w:color w:val="176EA4"/>
          </w:rPr>
          <w:t>Online chapter</w:t>
        </w:r>
      </w:hyperlink>
      <w:r>
        <w:t xml:space="preserve"> </w:t>
      </w:r>
    </w:p>
    <w:p>
      <w:pPr/>
      <w:r>
        <w:rPr>
          <w:b w:val="0"/>
          <w:i w:val="0"/>
        </w:rPr>
        <w:t>Follow one connected engineering record through materials, micromechanics, laminates, processing, structural design, and the CDS cloud.</w:t>
      </w:r>
    </w:p>
    <w:p>
      <w:pPr>
        <w:pStyle w:val="Heading2"/>
      </w:pPr>
      <w:r>
        <w:t>Choose the physics Follow the connections</w:t>
      </w:r>
    </w:p>
    <w:p>
      <w:pPr/>
      <w:r>
        <w:rPr>
          <w:b w:val="0"/>
          <w:i w:val="0"/>
        </w:rPr>
        <w:t xml:space="preserve">Start with an engineering application, then expand its branch to see models, inputs, results and theory. These six topics cover all </w:t>
      </w:r>
      <w:r>
        <w:rPr>
          <w:b w:val="0"/>
          <w:i w:val="0"/>
        </w:rPr>
        <w:t xml:space="preserve"> </w:t>
      </w:r>
      <w:r>
        <w:rPr>
          <w:b w:val="0"/>
          <w:i w:val="0"/>
        </w:rPr>
        <w:t>42</w:t>
      </w:r>
      <w:r>
        <w:rPr>
          <w:b w:val="0"/>
          <w:i w:val="0"/>
        </w:rPr>
        <w:t xml:space="preserve"> </w:t>
      </w:r>
      <w:r>
        <w:rPr>
          <w:b w:val="0"/>
          <w:i w:val="0"/>
        </w:rPr>
        <w:t xml:space="preserve"> current model families, including the specialist studies.</w:t>
      </w:r>
    </w:p>
    <w:p>
      <w:pPr>
        <w:pStyle w:val="Heading3"/>
      </w:pPr>
      <w:r>
        <w:t>Materials micromechanics</w:t>
      </w:r>
    </w:p>
    <w:p>
      <w:pPr/>
      <w:r>
        <w:rPr>
          <w:b w:val="0"/>
          <w:i w:val="0"/>
        </w:rPr>
        <w:t>Design a ply or reinforced feedstock</w:t>
      </w:r>
    </w:p>
    <w:p>
      <w:pPr>
        <w:pStyle w:val="ListBullet"/>
      </w:pPr>
      <w:r>
        <w:rPr>
          <w:b w:val="0"/>
          <w:i w:val="0"/>
        </w:rPr>
        <w:t>Constituents &amp; architecture</w:t>
      </w:r>
    </w:p>
    <w:p>
      <w:pPr>
        <w:pStyle w:val="ListBullet"/>
      </w:pPr>
      <w:r>
        <w:rPr>
          <w:b w:val="0"/>
          <w:i w:val="0"/>
        </w:rPr>
        <w:t>Homogenization</w:t>
      </w:r>
    </w:p>
    <w:p>
      <w:pPr>
        <w:pStyle w:val="ListBullet"/>
      </w:pPr>
      <w:r>
        <w:rPr>
          <w:b w:val="0"/>
          <w:i w:val="0"/>
        </w:rPr>
        <w:t>Ply properties</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Micromechanics</w:t>
      </w:r>
      <w:r>
        <w:rPr>
          <w:b/>
          <w:i w:val="0"/>
        </w:rPr>
        <w:t xml:space="preserve"> </w:t>
      </w:r>
      <w:r>
        <w:rPr>
          <w:b/>
          <w:i w:val="0"/>
        </w:rPr>
        <w:t xml:space="preserve"> </w:t>
      </w:r>
      <w:r>
        <w:rPr>
          <w:b/>
          <w:i w:val="0"/>
        </w:rPr>
        <w:t xml:space="preserve">· </w:t>
      </w:r>
      <w:r>
        <w:rPr>
          <w:b/>
          <w:i w:val="0"/>
        </w:rPr>
        <w:t xml:space="preserve"> </w:t>
      </w:r>
      <w:r>
        <w:rPr>
          <w:b/>
          <w:i w:val="0"/>
        </w:rPr>
        <w:t>9</w:t>
      </w:r>
      <w:r>
        <w:rPr>
          <w:b/>
        </w:rPr>
        <w:t xml:space="preserve"> </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pPr/>
      <w:r>
        <w:rPr>
          <w:b w:val="0"/>
          <w:i w:val="0"/>
        </w:rPr>
        <w:t>One compatible homogenization model per Micro recipe. Use separate recipes for comparisons; they are not combined in a single ply.</w:t>
      </w:r>
    </w:p>
    <w:p>
      <w:hyperlink r:id="rId11">
        <w:r>
          <w:rPr>
            <w:color w:val="176EA4"/>
          </w:rPr>
          <w:t>Theory &amp; limits</w:t>
        </w:r>
      </w:hyperlink>
      <w:r>
        <w:t xml:space="preserve"> </w:t>
      </w:r>
    </w:p>
    <w:p>
      <w:hyperlink r:id="rId12">
        <w:r>
          <w:rPr>
            <w:color w:val="176EA4"/>
          </w:rPr>
          <w:t>Guided exercise </w:t>
        </w:r>
      </w:hyperlink>
      <w:r>
        <w:t xml:space="preserve"> </w:t>
      </w:r>
    </w:p>
    <w:p>
      <w:pPr>
        <w:pStyle w:val="Heading3"/>
      </w:pPr>
      <w:r>
        <w:t>Heat moisture manufacturing</w:t>
      </w:r>
    </w:p>
    <w:p>
      <w:pPr/>
      <w:r>
        <w:rPr>
          <w:b w:val="0"/>
          <w:i w:val="0"/>
        </w:rPr>
        <w:t>Cure, pultrusion, conditioning and tool release</w:t>
      </w:r>
    </w:p>
    <w:p>
      <w:pPr>
        <w:pStyle w:val="ListBullet"/>
      </w:pPr>
      <w:r>
        <w:rPr>
          <w:b w:val="0"/>
          <w:i w:val="0"/>
        </w:rPr>
        <w:t>Material laws &amp; boundary cycles</w:t>
      </w:r>
    </w:p>
    <w:p>
      <w:pPr>
        <w:pStyle w:val="ListBullet"/>
      </w:pPr>
      <w:r>
        <w:rPr>
          <w:b w:val="0"/>
          <w:i w:val="0"/>
        </w:rPr>
        <w:t>Transport &amp; reaction</w:t>
      </w:r>
    </w:p>
    <w:p>
      <w:pPr>
        <w:pStyle w:val="ListBullet"/>
      </w:pPr>
      <w:r>
        <w:rPr>
          <w:b w:val="0"/>
          <w:i w:val="0"/>
        </w:rPr>
        <w:t>History &amp; compatible process fields</w:t>
      </w:r>
    </w:p>
    <w:p>
      <w:pPr>
        <w:keepNext/>
      </w:pPr>
      <w:r>
        <w:rPr>
          <w:b/>
          <w:i w:val="0"/>
        </w:rPr>
        <w:t xml:space="preserve">Explore </w:t>
      </w:r>
      <w:r>
        <w:rPr>
          <w:b/>
          <w:i w:val="0"/>
        </w:rPr>
        <w:t xml:space="preserve"> </w:t>
      </w:r>
      <w:r>
        <w:rPr>
          <w:b/>
          <w:i w:val="0"/>
        </w:rPr>
        <w:t>4</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14</w:t>
      </w:r>
      <w:r>
        <w:rPr>
          <w:b/>
          <w:i w:val="0"/>
        </w:rPr>
        <w:t xml:space="preserve"> </w:t>
      </w:r>
      <w:r>
        <w:rPr>
          <w:b/>
          <w:i w:val="0"/>
        </w:rPr>
        <w:t xml:space="preserve"> model choices</w:t>
      </w:r>
    </w:p>
    <w:p>
      <w:pPr>
        <w:keepNext/>
      </w:pPr>
      <w:r>
        <w:rPr>
          <w:b/>
          <w:i w:val="0"/>
        </w:rPr>
        <w:t>Cure, crystallization &amp; material transport</w:t>
      </w:r>
      <w:r>
        <w:rPr>
          <w:b/>
          <w:i w:val="0"/>
        </w:rPr>
        <w:t xml:space="preserve"> </w:t>
      </w:r>
      <w:r>
        <w:rPr>
          <w:b/>
          <w:i w:val="0"/>
        </w:rPr>
        <w:t xml:space="preserve"> </w:t>
      </w:r>
      <w:r>
        <w:rPr>
          <w:b/>
          <w:i w:val="0"/>
        </w:rPr>
        <w:t xml:space="preserve">· </w:t>
      </w:r>
      <w:r>
        <w:rPr>
          <w:b/>
          <w:i w:val="0"/>
        </w:rPr>
        <w:t xml:space="preserve"> </w:t>
      </w:r>
      <w:r>
        <w:rPr>
          <w:b/>
          <w:i w:val="0"/>
        </w:rPr>
        <w:t>8</w:t>
      </w:r>
      <w:r>
        <w:rPr>
          <w:b/>
        </w:rPr>
        <w:t xml:space="preserve"> </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pPr/>
      <w:r>
        <w:rPr>
          <w:b w:val="0"/>
          <w:i w:val="0"/>
        </w:rPr>
        <w:t>Independent model records can be linked together through material inputs. A saved model must be assigned to a material before it contributes to a simulation.</w:t>
      </w:r>
    </w:p>
    <w:p>
      <w:hyperlink r:id="rId13">
        <w:r>
          <w:rPr>
            <w:color w:val="176EA4"/>
          </w:rPr>
          <w:t>Theory &amp; limits</w:t>
        </w:r>
      </w:hyperlink>
      <w:r>
        <w:t xml:space="preserve"> </w:t>
      </w:r>
    </w:p>
    <w:p>
      <w:hyperlink r:id="rId14">
        <w:r>
          <w:rPr>
            <w:color w:val="176EA4"/>
          </w:rPr>
          <w:t>Guided exercise </w:t>
        </w:r>
      </w:hyperlink>
      <w:r>
        <w:t xml:space="preserve"> </w:t>
      </w:r>
    </w:p>
    <w:p>
      <w:pPr/>
      <w:r>
        <w:rPr>
          <w:b w:val="0"/>
          <w:i w:val="0"/>
        </w:rPr>
        <w:t xml:space="preserve"> · </w:t>
      </w:r>
      <w:hyperlink r:id="rId15">
        <w:r>
          <w:rPr>
            <w:color w:val="176EA4"/>
          </w:rPr>
          <w:t>Cure kinetics</w:t>
        </w:r>
      </w:hyperlink>
      <w:r>
        <w:t xml:space="preserve"> </w:t>
      </w:r>
    </w:p>
    <w:p>
      <w:pPr/>
      <w:r>
        <w:rPr>
          <w:b w:val="0"/>
          <w:i w:val="0"/>
        </w:rPr>
        <w:t xml:space="preserve"> · </w:t>
      </w:r>
      <w:hyperlink r:id="rId16">
        <w:r>
          <w:rPr>
            <w:color w:val="176EA4"/>
          </w:rPr>
          <w:t>Crystallization kinetics</w:t>
        </w:r>
      </w:hyperlink>
      <w:r>
        <w:t xml:space="preserve"> </w:t>
      </w:r>
    </w:p>
    <w:p>
      <w:pPr>
        <w:keepNext/>
      </w:pPr>
      <w:r>
        <w:rPr>
          <w:b/>
          <w:i w:val="0"/>
        </w:rPr>
        <w:t>Thermal transport</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pPr/>
      <w:r>
        <w:rPr>
          <w:b w:val="0"/>
          <w:i w:val="0"/>
        </w:rPr>
        <w:t>One transport formulation per thermal case. Select its laminate and configure its own initial conditions and surface cycle; pultrusion additionally requires a distance-based die schedule and pulling velocity.</w:t>
      </w:r>
    </w:p>
    <w:p>
      <w:hyperlink r:id="rId17">
        <w:r>
          <w:rPr>
            <w:color w:val="176EA4"/>
          </w:rPr>
          <w:t>Theory &amp; limits</w:t>
        </w:r>
      </w:hyperlink>
      <w:r>
        <w:t xml:space="preserve"> </w:t>
      </w:r>
    </w:p>
    <w:p>
      <w:hyperlink r:id="rId18">
        <w:r>
          <w:rPr>
            <w:color w:val="176EA4"/>
          </w:rPr>
          <w:t>Guided exercise </w:t>
        </w:r>
      </w:hyperlink>
      <w:r>
        <w:t xml:space="preserve"> </w:t>
      </w:r>
    </w:p>
    <w:p>
      <w:pPr/>
      <w:r>
        <w:rPr>
          <w:b w:val="0"/>
          <w:i w:val="0"/>
        </w:rPr>
        <w:t xml:space="preserve"> · </w:t>
      </w:r>
      <w:hyperlink r:id="rId19">
        <w:r>
          <w:rPr>
            <w:color w:val="176EA4"/>
          </w:rPr>
          <w:t>Pultrusion exercise</w:t>
        </w:r>
      </w:hyperlink>
      <w:r>
        <w:t xml:space="preserve"> </w:t>
      </w:r>
    </w:p>
    <w:p>
      <w:pPr/>
      <w:r>
        <w:rPr>
          <w:b w:val="0"/>
          <w:i w:val="0"/>
        </w:rPr>
        <w:t xml:space="preserve"> · </w:t>
      </w:r>
      <w:hyperlink r:id="rId20">
        <w:r>
          <w:rPr>
            <w:color w:val="176EA4"/>
          </w:rPr>
          <w:t>UV cure exercise</w:t>
        </w:r>
      </w:hyperlink>
      <w:r>
        <w:t xml:space="preserve"> </w:t>
      </w:r>
    </w:p>
    <w:p>
      <w:pPr>
        <w:keepNext/>
      </w:pPr>
      <w:r>
        <w:rPr>
          <w:b/>
          <w:i w:val="0"/>
        </w:rPr>
        <w:t>Moisture transport</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pStyle w:val="ListBullet"/>
      </w:pPr>
      <w:r>
        <w:rPr>
          <w:b w:val="0"/>
          <w:i w:val="0"/>
        </w:rPr>
        <w:t>1D transient moisture diffusion</w:t>
      </w:r>
    </w:p>
    <w:p>
      <w:pPr>
        <w:pStyle w:val="ListBullet"/>
      </w:pPr>
      <w:r>
        <w:rPr>
          <w:b w:val="0"/>
          <w:i w:val="0"/>
        </w:rPr>
        <w:t>1D steady-state moisture diffusion</w:t>
      </w:r>
    </w:p>
    <w:p>
      <w:pPr/>
      <w:r>
        <w:rPr>
          <w:b w:val="0"/>
          <w:i w:val="0"/>
        </w:rPr>
        <w:t>One formulation per moisture analysis. Thermal and moisture analyses can both be linked in Simulation; each needs its own boundary conditions.</w:t>
      </w:r>
    </w:p>
    <w:p>
      <w:hyperlink r:id="rId21">
        <w:r>
          <w:rPr>
            <w:color w:val="176EA4"/>
          </w:rPr>
          <w:t>Theory &amp; limits</w:t>
        </w:r>
      </w:hyperlink>
      <w:r>
        <w:t xml:space="preserve"> </w:t>
      </w:r>
    </w:p>
    <w:p>
      <w:hyperlink r:id="rId22">
        <w:r>
          <w:rPr>
            <w:color w:val="176EA4"/>
          </w:rPr>
          <w:t>Guided exercise </w:t>
        </w:r>
      </w:hyperlink>
      <w:r>
        <w:t xml:space="preserve"> </w:t>
      </w:r>
    </w:p>
    <w:p>
      <w:pPr>
        <w:keepNext/>
      </w:pPr>
      <w:r>
        <w:rPr>
          <w:b/>
          <w:i w:val="0"/>
        </w:rPr>
        <w:t>Tool-release shape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pStyle w:val="ListBullet"/>
      </w:pPr>
      <w:r>
        <w:rPr>
          <w:b w:val="0"/>
          <w:i w:val="0"/>
        </w:rPr>
        <w:t>Free-release eigenstrain &amp; spring-in</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23">
        <w:r>
          <w:rPr>
            <w:color w:val="176EA4"/>
          </w:rPr>
          <w:t>Theory &amp; limits</w:t>
        </w:r>
      </w:hyperlink>
      <w:r>
        <w:t xml:space="preserve"> </w:t>
      </w:r>
    </w:p>
    <w:p>
      <w:hyperlink r:id="rId24">
        <w:r>
          <w:rPr>
            <w:color w:val="176EA4"/>
          </w:rPr>
          <w:t>Guided exercise </w:t>
        </w:r>
      </w:hyperlink>
      <w:r>
        <w:t xml:space="preserve"> </w:t>
      </w:r>
    </w:p>
    <w:p>
      <w:pPr>
        <w:pStyle w:val="Heading3"/>
      </w:pPr>
      <w:r>
        <w:t>Structural mechanics</w:t>
      </w:r>
    </w:p>
    <w:p>
      <w:pPr/>
      <w:r>
        <w:rPr>
          <w:b w:val="0"/>
          <w:i w:val="0"/>
        </w:rPr>
        <w:t>Size plates, beams, shells, sandwich panels and joints</w:t>
      </w:r>
    </w:p>
    <w:p>
      <w:pPr>
        <w:pStyle w:val="ListBullet"/>
      </w:pPr>
      <w:r>
        <w:rPr>
          <w:b w:val="0"/>
          <w:i w:val="0"/>
        </w:rPr>
        <w:t>Laminate &amp; geometry</w:t>
      </w:r>
    </w:p>
    <w:p>
      <w:pPr>
        <w:pStyle w:val="ListBullet"/>
      </w:pPr>
      <w:r>
        <w:rPr>
          <w:b w:val="0"/>
          <w:i w:val="0"/>
        </w:rPr>
        <w:t>Load response / stability</w:t>
      </w:r>
    </w:p>
    <w:p>
      <w:pPr>
        <w:pStyle w:val="ListBullet"/>
      </w:pPr>
      <w:r>
        <w:rPr>
          <w:b w:val="0"/>
          <w:i w:val="0"/>
        </w:rPr>
        <w:t>Displacements, stresses &amp; modes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17</w:t>
      </w:r>
      <w:r>
        <w:rPr>
          <w:b/>
          <w:i w:val="0"/>
        </w:rPr>
        <w:t xml:space="preserve"> </w:t>
      </w:r>
      <w:r>
        <w:rPr>
          <w:b/>
          <w:i w:val="0"/>
        </w:rPr>
        <w:t xml:space="preserve"> model choices</w:t>
      </w:r>
    </w:p>
    <w:p>
      <w:pPr>
        <w:keepNext/>
      </w:pPr>
      <w:r>
        <w:rPr>
          <w:b/>
          <w:i w:val="0"/>
        </w:rPr>
        <w:t>Plate · CLT &amp; FSDT</w:t>
      </w:r>
      <w:r>
        <w:rPr>
          <w:b/>
          <w:i w:val="0"/>
        </w:rPr>
        <w:t xml:space="preserve"> </w:t>
      </w:r>
      <w:r>
        <w:rPr>
          <w:b/>
          <w:i w:val="0"/>
        </w:rPr>
        <w:t xml:space="preserve"> </w:t>
      </w:r>
      <w:r>
        <w:rPr>
          <w:b/>
          <w:i w:val="0"/>
        </w:rPr>
        <w:t xml:space="preserve">· </w:t>
      </w:r>
      <w:r>
        <w:rPr>
          <w:b/>
          <w:i w:val="0"/>
        </w:rPr>
        <w:t xml:space="preserve"> </w:t>
      </w:r>
      <w:r>
        <w:rPr>
          <w:b/>
          <w:i w:val="0"/>
        </w:rPr>
        <w:t>6</w:t>
      </w:r>
      <w:r>
        <w:rPr>
          <w:b/>
        </w:rPr>
        <w:t xml:space="preserve"> </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pPr/>
      <w:r>
        <w:rPr>
          <w:b w:val="0"/>
          <w:i w:val="0"/>
        </w:rPr>
        <w:t>Choose a formulation and study. Buckling and modal can be requested together; static bending requires FSDT. These are reference-elastic studies, separate from coupled process or progressive failure.</w:t>
      </w:r>
    </w:p>
    <w:p>
      <w:hyperlink r:id="rId25">
        <w:r>
          <w:rPr>
            <w:color w:val="176EA4"/>
          </w:rPr>
          <w:t>Theory &amp; limits</w:t>
        </w:r>
      </w:hyperlink>
      <w:r>
        <w:t xml:space="preserve"> </w:t>
      </w:r>
    </w:p>
    <w:p>
      <w:hyperlink r:id="rId26">
        <w:r>
          <w:rPr>
            <w:color w:val="176EA4"/>
          </w:rPr>
          <w:t>Guided exercise </w:t>
        </w:r>
      </w:hyperlink>
      <w:r>
        <w:t xml:space="preserve"> </w:t>
      </w:r>
    </w:p>
    <w:p>
      <w:pPr>
        <w:keepNext/>
      </w:pPr>
      <w:r>
        <w:rPr>
          <w:b/>
          <w:i w:val="0"/>
        </w:rPr>
        <w:t>Cylinder</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pStyle w:val="ListBullet"/>
      </w:pPr>
      <w:r>
        <w:rPr>
          <w:b w:val="0"/>
          <w:i w:val="0"/>
        </w:rPr>
        <w:t>Linear thin-wall membrane</w:t>
      </w:r>
    </w:p>
    <w:p>
      <w:pPr>
        <w:pStyle w:val="ListBullet"/>
      </w:pPr>
      <w:r>
        <w:rPr>
          <w:b w:val="0"/>
          <w:i w:val="0"/>
        </w:rPr>
        <w:t>Layerwise thick-wall elasticity</w:t>
      </w:r>
    </w:p>
    <w:p>
      <w:pPr/>
      <w:r>
        <w:rPr>
          <w:b w:val="0"/>
          <w:i w:val="0"/>
        </w:rPr>
        <w:t>Choose one cylinder formulation per case record. Geometry and plies remain shared; thick-wall radial results exclude torsion and process strains.</w:t>
      </w:r>
    </w:p>
    <w:p>
      <w:hyperlink r:id="rId27">
        <w:r>
          <w:rPr>
            <w:color w:val="176EA4"/>
          </w:rPr>
          <w:t>Theory &amp; limits</w:t>
        </w:r>
      </w:hyperlink>
      <w:r>
        <w:t xml:space="preserve"> </w:t>
      </w:r>
    </w:p>
    <w:p>
      <w:hyperlink r:id="rId28">
        <w:r>
          <w:rPr>
            <w:color w:val="176EA4"/>
          </w:rPr>
          <w:t>Guided exercise </w:t>
        </w:r>
      </w:hyperlink>
      <w:r>
        <w:t xml:space="preserve"> </w:t>
      </w:r>
    </w:p>
    <w:p>
      <w:pPr/>
      <w:r>
        <w:rPr>
          <w:b w:val="0"/>
          <w:i w:val="0"/>
        </w:rPr>
        <w:t xml:space="preserve"> · </w:t>
      </w:r>
      <w:hyperlink r:id="rId29">
        <w:r>
          <w:rPr>
            <w:color w:val="176EA4"/>
          </w:rPr>
          <w:t>Layerwise thick-wall theory</w:t>
        </w:r>
      </w:hyperlink>
      <w:r>
        <w:t xml:space="preserve"> </w:t>
      </w:r>
    </w:p>
    <w:p>
      <w:pPr>
        <w:keepNext/>
      </w:pPr>
      <w:r>
        <w:rPr>
          <w:b/>
          <w:i w:val="0"/>
        </w:rPr>
        <w:t>Membrane, bending &amp; beam buckling</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pPr/>
      <w:r>
        <w:rPr>
          <w:b w:val="0"/>
          <w:i w:val="0"/>
        </w:rPr>
        <w:t>Geometry and the case determine the membrane or beam-test interpretation. Euler buckling requires a compatible beam section and a separate reference-elastic study; it is not a strength or local-buckling pass.</w:t>
      </w:r>
    </w:p>
    <w:p>
      <w:hyperlink r:id="rId30">
        <w:r>
          <w:rPr>
            <w:color w:val="176EA4"/>
          </w:rPr>
          <w:t>Theory &amp; limits</w:t>
        </w:r>
      </w:hyperlink>
      <w:r>
        <w:t xml:space="preserve"> </w:t>
      </w:r>
    </w:p>
    <w:p>
      <w:hyperlink r:id="rId31">
        <w:r>
          <w:rPr>
            <w:color w:val="176EA4"/>
          </w:rPr>
          <w:t>Guided exercise </w:t>
        </w:r>
      </w:hyperlink>
      <w:r>
        <w:t xml:space="preserve"> </w:t>
      </w:r>
    </w:p>
    <w:p>
      <w:pPr>
        <w:keepNext/>
      </w:pPr>
      <w:r>
        <w:rPr>
          <w:b/>
          <w:i w:val="0"/>
        </w:rPr>
        <w:t>Layerwise sections, joints &amp; delamination</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pPr/>
      <w:r>
        <w:rPr>
          <w:b w:val="0"/>
          <w:i w:val="0"/>
        </w:rPr>
        <w:t>Coupled delamination is available only for the layerwise Plate section and needs calibrated interface and ply properties. Lap-shear uses its separate joint geometry and perfectly bonded elastic formulation.</w:t>
      </w:r>
    </w:p>
    <w:p>
      <w:hyperlink r:id="rId32">
        <w:r>
          <w:rPr>
            <w:color w:val="176EA4"/>
          </w:rPr>
          <w:t>Theory &amp; limits</w:t>
        </w:r>
      </w:hyperlink>
      <w:r>
        <w:t xml:space="preserve"> </w:t>
      </w:r>
    </w:p>
    <w:p>
      <w:hyperlink r:id="rId33">
        <w:r>
          <w:rPr>
            <w:color w:val="176EA4"/>
          </w:rPr>
          <w:t>Guided exercise </w:t>
        </w:r>
      </w:hyperlink>
      <w:r>
        <w:t xml:space="preserve"> </w:t>
      </w:r>
    </w:p>
    <w:p>
      <w:pPr/>
      <w:r>
        <w:rPr>
          <w:b w:val="0"/>
          <w:i w:val="0"/>
        </w:rPr>
        <w:t xml:space="preserve"> · </w:t>
      </w:r>
      <w:hyperlink r:id="rId34">
        <w:r>
          <w:rPr>
            <w:color w:val="176EA4"/>
          </w:rPr>
          <w:t>Cohesive interface theory</w:t>
        </w:r>
      </w:hyperlink>
      <w:r>
        <w:t xml:space="preserve"> </w:t>
      </w:r>
    </w:p>
    <w:p>
      <w:pPr>
        <w:keepNext/>
      </w:pPr>
      <w:r>
        <w:rPr>
          <w:b/>
          <w:i w:val="0"/>
        </w:rPr>
        <w:t>Sandwich bending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pStyle w:val="ListBullet"/>
      </w:pPr>
      <w:r>
        <w:rPr>
          <w:b w:val="0"/>
          <w:i w:val="0"/>
        </w:rPr>
        <w:t>Sandwich three-point bend</w:t>
      </w:r>
    </w:p>
    <w:p>
      <w:pPr/>
      <w:r>
        <w:rPr>
          <w:b w:val="0"/>
          <w:i w:val="0"/>
        </w:rPr>
        <w:t>Dedicated sandwich screening. Check core, faces and nominal bond shear separately; peel, mixed-mode debonding and crack growth are not assessed.</w:t>
      </w:r>
    </w:p>
    <w:p>
      <w:hyperlink r:id="rId32">
        <w:r>
          <w:rPr>
            <w:color w:val="176EA4"/>
          </w:rPr>
          <w:t>Theory &amp; limits</w:t>
        </w:r>
      </w:hyperlink>
      <w:r>
        <w:t xml:space="preserve"> </w:t>
      </w:r>
    </w:p>
    <w:p>
      <w:hyperlink r:id="rId35">
        <w:r>
          <w:rPr>
            <w:color w:val="176EA4"/>
          </w:rPr>
          <w:t>Guided exercise </w:t>
        </w:r>
      </w:hyperlink>
      <w:r>
        <w:t xml:space="preserve"> </w:t>
      </w:r>
    </w:p>
    <w:p>
      <w:pPr>
        <w:keepNext/>
      </w:pPr>
      <w:r>
        <w:rPr>
          <w:b/>
          <w:i w:val="0"/>
        </w:rPr>
        <w:t>Analytical bonded joint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pStyle w:val="ListBullet"/>
      </w:pPr>
      <w:r>
        <w:rPr>
          <w:b w:val="0"/>
          <w:i w:val="0"/>
        </w:rPr>
        <w:t>Volkersen &amp; Goland–Reissner joint</w:t>
      </w:r>
    </w:p>
    <w:p>
      <w:pPr/>
      <w:r>
        <w:rPr>
          <w:b w:val="0"/>
          <w:i w:val="0"/>
        </w:rPr>
        <w:t>Identical equivalent-elastic adherends, long free arms and a thin elastic adhesive. Compare shear-only Volkersen with eccentric single-lap shear and peel. Not a debonding, plasticity or strength calculation.</w:t>
      </w:r>
    </w:p>
    <w:p>
      <w:hyperlink r:id="rId36">
        <w:r>
          <w:rPr>
            <w:color w:val="176EA4"/>
          </w:rPr>
          <w:t>Theory &amp; limits</w:t>
        </w:r>
      </w:hyperlink>
      <w:r>
        <w:t xml:space="preserve"> </w:t>
      </w:r>
    </w:p>
    <w:p>
      <w:hyperlink r:id="rId37">
        <w:r>
          <w:rPr>
            <w:color w:val="176EA4"/>
          </w:rPr>
          <w:t>Guided exercise </w:t>
        </w:r>
      </w:hyperlink>
      <w:r>
        <w:t xml:space="preserve"> </w:t>
      </w:r>
    </w:p>
    <w:p>
      <w:pPr>
        <w:keepNext/>
      </w:pPr>
      <w:r>
        <w:rPr>
          <w:b/>
          <w:i w:val="0"/>
        </w:rPr>
        <w:t>Cylinder buckling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pStyle w:val="ListBullet"/>
      </w:pPr>
      <w:r>
        <w:rPr>
          <w:b w:val="0"/>
          <w:i w:val="0"/>
        </w:rPr>
        <w:t>Donnell cylinder · axial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38">
        <w:r>
          <w:rPr>
            <w:color w:val="176EA4"/>
          </w:rPr>
          <w:t>Theory &amp; limits</w:t>
        </w:r>
      </w:hyperlink>
      <w:r>
        <w:t xml:space="preserve"> </w:t>
      </w:r>
    </w:p>
    <w:p>
      <w:hyperlink r:id="rId39">
        <w:r>
          <w:rPr>
            <w:color w:val="176EA4"/>
          </w:rPr>
          <w:t>Guided exercise </w:t>
        </w:r>
      </w:hyperlink>
      <w:r>
        <w:t xml:space="preserve"> </w:t>
      </w:r>
    </w:p>
    <w:p>
      <w:pPr>
        <w:pStyle w:val="Heading3"/>
      </w:pPr>
      <w:r>
        <w:t>Failure durability variability</w:t>
      </w:r>
    </w:p>
    <w:p>
      <w:pPr/>
      <w:r>
        <w:rPr>
          <w:b w:val="0"/>
          <w:i w:val="0"/>
        </w:rPr>
        <w:t>Assess strength, service life and sensitivity</w:t>
      </w:r>
    </w:p>
    <w:p>
      <w:pPr>
        <w:pStyle w:val="ListBullet"/>
      </w:pPr>
      <w:r>
        <w:rPr>
          <w:b w:val="0"/>
          <w:i w:val="0"/>
        </w:rPr>
        <w:t>Ply response &amp; calibration</w:t>
      </w:r>
    </w:p>
    <w:p>
      <w:pPr>
        <w:pStyle w:val="ListBullet"/>
      </w:pPr>
      <w:r>
        <w:rPr>
          <w:b w:val="0"/>
          <w:i w:val="0"/>
        </w:rPr>
        <w:t>Selected assessment</w:t>
      </w:r>
    </w:p>
    <w:p>
      <w:pPr>
        <w:pStyle w:val="ListBullet"/>
      </w:pPr>
      <w:r>
        <w:rPr>
          <w:b w:val="0"/>
          <w:i w:val="0"/>
        </w:rPr>
        <w:t>Indices, envelopes &amp; life estimates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15</w:t>
      </w:r>
      <w:r>
        <w:rPr>
          <w:b/>
          <w:i w:val="0"/>
        </w:rPr>
        <w:t xml:space="preserve"> </w:t>
      </w:r>
      <w:r>
        <w:rPr>
          <w:b/>
          <w:i w:val="0"/>
        </w:rPr>
        <w:t xml:space="preserve"> model choices</w:t>
      </w:r>
    </w:p>
    <w:p>
      <w:pPr>
        <w:keepNext/>
      </w:pPr>
      <w:r>
        <w:rPr>
          <w:b/>
          <w:i w:val="0"/>
        </w:rPr>
        <w:t>Failure &amp; envelope comparison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pPr/>
      <w:r>
        <w:rPr>
          <w:b w:val="0"/>
          <w:i w:val="0"/>
        </w:rPr>
        <w:t>One primary failure criterion per load. In Response → Failure, compare all eligible theories or a custom selection in the envelope controls. Each theory runs independently; criteria are not blended.</w:t>
      </w:r>
    </w:p>
    <w:p>
      <w:hyperlink r:id="rId40">
        <w:r>
          <w:rPr>
            <w:color w:val="176EA4"/>
          </w:rPr>
          <w:t>Theory &amp; limits</w:t>
        </w:r>
      </w:hyperlink>
      <w:r>
        <w:t xml:space="preserve"> </w:t>
      </w:r>
    </w:p>
    <w:p>
      <w:hyperlink r:id="rId41">
        <w:r>
          <w:rPr>
            <w:color w:val="176EA4"/>
          </w:rPr>
          <w:t>Guided exercise </w:t>
        </w:r>
      </w:hyperlink>
      <w:r>
        <w:t xml:space="preserve"> </w:t>
      </w:r>
    </w:p>
    <w:p>
      <w:pPr/>
      <w:r>
        <w:rPr>
          <w:b w:val="0"/>
          <w:i w:val="0"/>
        </w:rPr>
        <w:t xml:space="preserve"> · </w:t>
      </w:r>
      <w:hyperlink r:id="rId42">
        <w:r>
          <w:rPr>
            <w:color w:val="176EA4"/>
          </w:rPr>
          <w:t>Failure equations</w:t>
        </w:r>
      </w:hyperlink>
      <w:r>
        <w:t xml:space="preserve"> </w:t>
      </w:r>
    </w:p>
    <w:p>
      <w:pPr/>
      <w:r>
        <w:rPr>
          <w:b w:val="0"/>
          <w:i w:val="0"/>
        </w:rPr>
        <w:t xml:space="preserve"> · </w:t>
      </w:r>
      <w:hyperlink r:id="rId43">
        <w:r>
          <w:rPr>
            <w:color w:val="176EA4"/>
          </w:rPr>
          <w:t>Implemented Workbench methods</w:t>
        </w:r>
      </w:hyperlink>
      <w:r>
        <w:t xml:space="preserve"> </w:t>
      </w:r>
    </w:p>
    <w:p>
      <w:pPr>
        <w:keepNext/>
      </w:pPr>
      <w:r>
        <w:rPr>
          <w:b/>
          <w:i w:val="0"/>
        </w:rPr>
        <w:t>Fatigue S–N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pPr/>
      <w:r>
        <w:rPr>
          <w:b w:val="0"/>
          <w:i w:val="0"/>
        </w:rPr>
        <w:t>Select calibrated S–N curves for each material, direction and stress sign in Fatigue. Different sources can use different models. S–N life does not define residual stiffness or strength.</w:t>
      </w:r>
    </w:p>
    <w:p>
      <w:hyperlink r:id="rId44">
        <w:r>
          <w:rPr>
            <w:color w:val="176EA4"/>
          </w:rPr>
          <w:t>Theory &amp; limits</w:t>
        </w:r>
      </w:hyperlink>
      <w:r>
        <w:t xml:space="preserve"> </w:t>
      </w:r>
    </w:p>
    <w:p>
      <w:hyperlink r:id="rId41">
        <w:r>
          <w:rPr>
            <w:color w:val="176EA4"/>
          </w:rPr>
          <w:t>Starter load case · add calibrated fatigue </w:t>
        </w:r>
      </w:hyperlink>
      <w:r>
        <w:t xml:space="preserve"> </w:t>
      </w:r>
    </w:p>
    <w:p>
      <w:pPr>
        <w:keepNext/>
      </w:pPr>
      <w:r>
        <w:rPr>
          <w:b/>
          <w:i w:val="0"/>
        </w:rPr>
        <w:t>Open-hole strength</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pStyle w:val="ListBullet"/>
      </w:pPr>
      <w:r>
        <w:rPr>
          <w:b w:val="0"/>
          <w:i w:val="0"/>
        </w:rPr>
        <w:t>Whitney–Nuismer open-hole tension</w:t>
      </w:r>
    </w:p>
    <w:p>
      <w:pPr/>
      <w:r>
        <w:rPr>
          <w:b w:val="0"/>
          <w:i w:val="0"/>
        </w:rPr>
        <w:t>Infinite-width, specially orthotropic tension screening. Point and average stress distances must be calibrated independently for this laminate. Not compression, bearing or a joint allowable.</w:t>
      </w:r>
    </w:p>
    <w:p>
      <w:hyperlink r:id="rId45">
        <w:r>
          <w:rPr>
            <w:color w:val="176EA4"/>
          </w:rPr>
          <w:t>Theory &amp; limits</w:t>
        </w:r>
      </w:hyperlink>
      <w:r>
        <w:t xml:space="preserve"> </w:t>
      </w:r>
    </w:p>
    <w:p>
      <w:hyperlink r:id="rId46">
        <w:r>
          <w:rPr>
            <w:color w:val="176EA4"/>
          </w:rPr>
          <w:t>Guided exercise </w:t>
        </w:r>
      </w:hyperlink>
      <w:r>
        <w:t xml:space="preserve"> </w:t>
      </w:r>
    </w:p>
    <w:p>
      <w:pPr>
        <w:keepNext/>
      </w:pPr>
      <w:r>
        <w:rPr>
          <w:b/>
          <w:i w:val="0"/>
        </w:rPr>
        <w:t>Creep &amp; stress relaxation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pStyle w:val="ListBullet"/>
      </w:pPr>
      <w:r>
        <w:rPr>
          <w:b w:val="0"/>
          <w:i w:val="0"/>
        </w:rPr>
        <w:t>Generalized Maxwell · axial Prony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hyperlink r:id="rId47">
        <w:r>
          <w:rPr>
            <w:color w:val="176EA4"/>
          </w:rPr>
          <w:t>Theory &amp; limits</w:t>
        </w:r>
      </w:hyperlink>
      <w:r>
        <w:t xml:space="preserve"> </w:t>
      </w:r>
    </w:p>
    <w:p>
      <w:hyperlink r:id="rId48">
        <w:r>
          <w:rPr>
            <w:color w:val="176EA4"/>
          </w:rPr>
          <w:t>Guided exercise </w:t>
        </w:r>
      </w:hyperlink>
      <w:r>
        <w:t xml:space="preserve"> </w:t>
      </w:r>
    </w:p>
    <w:p>
      <w:pPr>
        <w:keepNext/>
      </w:pPr>
      <w:r>
        <w:rPr>
          <w:b/>
          <w:i w:val="0"/>
        </w:rPr>
        <w:t>LaRC04 failure initiation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pStyle w:val="ListBullet"/>
      </w:pPr>
      <w:r>
        <w:rPr>
          <w:b w:val="0"/>
          <w:i w:val="0"/>
        </w:rPr>
        <w:t>LaRC04 · linear shear</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49">
        <w:r>
          <w:rPr>
            <w:color w:val="176EA4"/>
          </w:rPr>
          <w:t>Theory &amp; limits</w:t>
        </w:r>
      </w:hyperlink>
      <w:r>
        <w:t xml:space="preserve"> </w:t>
      </w:r>
    </w:p>
    <w:p>
      <w:hyperlink r:id="rId50">
        <w:r>
          <w:rPr>
            <w:color w:val="176EA4"/>
          </w:rPr>
          <w:t>Guided exercise </w:t>
        </w:r>
      </w:hyperlink>
      <w:r>
        <w:t xml:space="preserve"> </w:t>
      </w:r>
    </w:p>
    <w:p>
      <w:pPr>
        <w:keepNext/>
      </w:pPr>
      <w:r>
        <w:rPr>
          <w:b/>
          <w:i w:val="0"/>
        </w:rPr>
        <w:t>Fatigue residual properties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pStyle w:val="ListBullet"/>
      </w:pPr>
      <w:r>
        <w:rPr>
          <w:b w:val="0"/>
          <w:i w:val="0"/>
        </w:rPr>
        <w:t>Calibrated residual-property fatigue</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hyperlink r:id="rId51">
        <w:r>
          <w:rPr>
            <w:color w:val="176EA4"/>
          </w:rPr>
          <w:t>Theory &amp; limits</w:t>
        </w:r>
      </w:hyperlink>
      <w:r>
        <w:t xml:space="preserve"> </w:t>
      </w:r>
    </w:p>
    <w:p>
      <w:hyperlink r:id="rId52">
        <w:r>
          <w:rPr>
            <w:color w:val="176EA4"/>
          </w:rPr>
          <w:t>Guided exercise </w:t>
        </w:r>
      </w:hyperlink>
      <w:r>
        <w:t xml:space="preserve"> </w:t>
      </w:r>
    </w:p>
    <w:p>
      <w:pPr>
        <w:keepNext/>
      </w:pPr>
      <w:r>
        <w:rPr>
          <w:b/>
          <w:i w:val="0"/>
        </w:rPr>
        <w:t>Uncertainty &amp; sensitivity</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pStyle w:val="ListBullet"/>
      </w:pPr>
      <w:r>
        <w:rPr>
          <w:b w:val="0"/>
          <w:i w:val="0"/>
        </w:rPr>
        <w:t>Seeded laminate uncertainty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53">
        <w:r>
          <w:rPr>
            <w:color w:val="176EA4"/>
          </w:rPr>
          <w:t>Theory &amp; limits</w:t>
        </w:r>
      </w:hyperlink>
      <w:r>
        <w:t xml:space="preserve"> </w:t>
      </w:r>
    </w:p>
    <w:p>
      <w:hyperlink r:id="rId54">
        <w:r>
          <w:rPr>
            <w:color w:val="176EA4"/>
          </w:rPr>
          <w:t>Guided exercise </w:t>
        </w:r>
      </w:hyperlink>
      <w:r>
        <w:t xml:space="preserve"> </w:t>
      </w:r>
    </w:p>
    <w:p>
      <w:pPr>
        <w:pStyle w:val="Heading3"/>
      </w:pPr>
      <w:r>
        <w:t>Virtual test lab</w:t>
      </w:r>
    </w:p>
    <w:p>
      <w:pPr/>
      <w:r>
        <w:rPr>
          <w:b w:val="0"/>
          <w:i w:val="0"/>
        </w:rPr>
        <w:t>Explore specimen behavior and calibration</w:t>
      </w:r>
    </w:p>
    <w:p>
      <w:pPr>
        <w:pStyle w:val="ListBullet"/>
      </w:pPr>
      <w:r>
        <w:rPr>
          <w:b w:val="0"/>
          <w:i w:val="0"/>
        </w:rPr>
        <w:t>Specimen &amp; material inputs</w:t>
      </w:r>
    </w:p>
    <w:p>
      <w:pPr>
        <w:pStyle w:val="ListBullet"/>
      </w:pPr>
      <w:r>
        <w:rPr>
          <w:b w:val="0"/>
          <w:i w:val="0"/>
        </w:rPr>
        <w:t>Virtual test</w:t>
      </w:r>
    </w:p>
    <w:p>
      <w:pPr>
        <w:pStyle w:val="ListBullet"/>
      </w:pPr>
      <w:r>
        <w:rPr>
          <w:b w:val="0"/>
          <w:i w:val="0"/>
        </w:rPr>
        <w:t>Response &amp; comparison</w:t>
      </w:r>
    </w:p>
    <w:p>
      <w:pPr>
        <w:keepNext/>
      </w:pPr>
      <w:r>
        <w:rPr>
          <w:b/>
          <w:i w:val="0"/>
        </w:rPr>
        <w:t xml:space="preserve">Explore </w:t>
      </w:r>
      <w:r>
        <w:rPr>
          <w:b/>
          <w:i w:val="0"/>
        </w:rPr>
        <w:t xml:space="preserve"> </w:t>
      </w:r>
      <w:r>
        <w:rPr>
          <w:b/>
          <w:i w:val="0"/>
        </w:rPr>
        <w:t>10</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10</w:t>
      </w:r>
      <w:r>
        <w:rPr>
          <w:b/>
          <w:i w:val="0"/>
        </w:rPr>
        <w:t xml:space="preserve"> </w:t>
      </w:r>
      <w:r>
        <w:rPr>
          <w:b/>
          <w:i w:val="0"/>
        </w:rPr>
        <w:t xml:space="preserve"> model choices</w:t>
      </w:r>
    </w:p>
    <w:p>
      <w:pPr>
        <w:keepNext/>
      </w:pPr>
      <w:r>
        <w:rPr>
          <w:b/>
          <w:i w:val="0"/>
        </w:rPr>
        <w:t>D6641 · Compression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pStyle w:val="ListBullet"/>
      </w:pPr>
      <w:r>
        <w:rPr>
          <w:b w:val="0"/>
          <w:i w:val="0"/>
        </w:rPr>
        <w:t>Virtual test · compression coupon</w:t>
      </w:r>
    </w:p>
    <w:p>
      <w:pPr/>
      <w:r>
        <w:rPr>
          <w:b w:val="0"/>
          <w:i w:val="0"/>
        </w:rPr>
        <w:t>Uniform small-strain compression using linked laminate Ex and thickness. Measured compressive strength supplies a screening ratio; fixture, tabs, buckling and failure evolution are not simulated.</w:t>
      </w:r>
    </w:p>
    <w:p>
      <w:hyperlink r:id="rId55">
        <w:r>
          <w:rPr>
            <w:color w:val="176EA4"/>
          </w:rPr>
          <w:t>Theory &amp; limits</w:t>
        </w:r>
      </w:hyperlink>
      <w:r>
        <w:t xml:space="preserve"> </w:t>
      </w:r>
    </w:p>
    <w:p>
      <w:hyperlink r:id="rId56">
        <w:r>
          <w:rPr>
            <w:color w:val="176EA4"/>
          </w:rPr>
          <w:t>Guided exercise </w:t>
        </w:r>
      </w:hyperlink>
      <w:r>
        <w:t xml:space="preserve"> </w:t>
      </w:r>
    </w:p>
    <w:p>
      <w:pPr>
        <w:keepNext/>
      </w:pPr>
      <w:r>
        <w:rPr>
          <w:b/>
          <w:i w:val="0"/>
        </w:rPr>
        <w:t>D5379 / D7078 · Shear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pStyle w:val="ListBullet"/>
      </w:pPr>
      <w:r>
        <w:rPr>
          <w:b w:val="0"/>
          <w:i w:val="0"/>
        </w:rPr>
        <w:t>Virtual test · nominal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hyperlink r:id="rId57">
        <w:r>
          <w:rPr>
            <w:color w:val="176EA4"/>
          </w:rPr>
          <w:t>Theory &amp; limits</w:t>
        </w:r>
      </w:hyperlink>
      <w:r>
        <w:t xml:space="preserve"> </w:t>
      </w:r>
    </w:p>
    <w:p>
      <w:hyperlink r:id="rId58">
        <w:r>
          <w:rPr>
            <w:color w:val="176EA4"/>
          </w:rPr>
          <w:t>Guided exercise </w:t>
        </w:r>
      </w:hyperlink>
      <w:r>
        <w:t xml:space="preserve"> </w:t>
      </w:r>
    </w:p>
    <w:p>
      <w:pPr>
        <w:keepNext/>
      </w:pPr>
      <w:r>
        <w:rPr>
          <w:b/>
          <w:i w:val="0"/>
        </w:rPr>
        <w:t>D5528 · DCB opening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pStyle w:val="ListBullet"/>
      </w:pPr>
      <w:r>
        <w:rPr>
          <w:b w:val="0"/>
          <w:i w:val="0"/>
        </w:rPr>
        <w:t>Virtual test · DCB beam compliance</w:t>
      </w:r>
    </w:p>
    <w:p>
      <w:pPr/>
      <w:r>
        <w:rPr>
          <w:b w:val="0"/>
          <w:i w:val="0"/>
        </w:rPr>
        <w:t>Ideal Euler–Bernoulli DCB with equal homogeneous 0° arms, each half the linked laminate thickness. No root rotation, shear, large displacement or cohesive growth. Critical load is an initiation estimate from supplied GIc.</w:t>
      </w:r>
    </w:p>
    <w:p>
      <w:hyperlink r:id="rId59">
        <w:r>
          <w:rPr>
            <w:color w:val="176EA4"/>
          </w:rPr>
          <w:t>Theory &amp; limits</w:t>
        </w:r>
      </w:hyperlink>
      <w:r>
        <w:t xml:space="preserve"> </w:t>
      </w:r>
    </w:p>
    <w:p>
      <w:hyperlink r:id="rId60">
        <w:r>
          <w:rPr>
            <w:color w:val="176EA4"/>
          </w:rPr>
          <w:t>Guided exercise </w:t>
        </w:r>
      </w:hyperlink>
      <w:r>
        <w:t xml:space="preserve"> </w:t>
      </w:r>
    </w:p>
    <w:p>
      <w:pPr>
        <w:keepNext/>
      </w:pPr>
      <w:r>
        <w:rPr>
          <w:b/>
          <w:i w:val="0"/>
        </w:rPr>
        <w:t>D7905 · ENF sliding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pStyle w:val="ListBullet"/>
      </w:pPr>
      <w:r>
        <w:rPr>
          <w:b w:val="0"/>
          <w:i w:val="0"/>
        </w:rPr>
        <w:t>Virtual test · ENF beam compliance</w:t>
      </w:r>
    </w:p>
    <w:p>
      <w:pPr/>
      <w:r>
        <w:rPr>
          <w:b w:val="0"/>
          <w:i w:val="0"/>
        </w:rPr>
        <w:t>Ideal equal-arm, homogeneous 0° ENF beam; support span is twice the half-span. Crack must be shorter than the half-span. No shear/root correction or unstable crack growth. GIIc is supplied, not fitted automatically.</w:t>
      </w:r>
    </w:p>
    <w:p>
      <w:hyperlink r:id="rId61">
        <w:r>
          <w:rPr>
            <w:color w:val="176EA4"/>
          </w:rPr>
          <w:t>Theory &amp; limits</w:t>
        </w:r>
      </w:hyperlink>
      <w:r>
        <w:t xml:space="preserve"> </w:t>
      </w:r>
    </w:p>
    <w:p>
      <w:hyperlink r:id="rId62">
        <w:r>
          <w:rPr>
            <w:color w:val="176EA4"/>
          </w:rPr>
          <w:t>Guided exercise </w:t>
        </w:r>
      </w:hyperlink>
      <w:r>
        <w:t xml:space="preserve"> </w:t>
      </w:r>
    </w:p>
    <w:p>
      <w:pPr>
        <w:keepNext/>
      </w:pPr>
      <w:r>
        <w:rPr>
          <w:b/>
          <w:i w:val="0"/>
        </w:rPr>
        <w:t>D6671 · Mixed-mode fracture envelope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pStyle w:val="ListBullet"/>
      </w:pPr>
      <w:r>
        <w:rPr>
          <w:b w:val="0"/>
          <w:i w:val="0"/>
        </w:rPr>
        <w:t>Virtual test · BK mixed-mode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hyperlink r:id="rId63">
        <w:r>
          <w:rPr>
            <w:color w:val="176EA4"/>
          </w:rPr>
          <w:t>Theory &amp; limits</w:t>
        </w:r>
      </w:hyperlink>
      <w:r>
        <w:t xml:space="preserve"> </w:t>
      </w:r>
    </w:p>
    <w:p>
      <w:hyperlink r:id="rId64">
        <w:r>
          <w:rPr>
            <w:color w:val="176EA4"/>
          </w:rPr>
          <w:t>Guided exercise </w:t>
        </w:r>
      </w:hyperlink>
      <w:r>
        <w:t xml:space="preserve"> </w:t>
      </w:r>
    </w:p>
    <w:p>
      <w:pPr>
        <w:keepNext/>
      </w:pPr>
      <w:r>
        <w:rPr>
          <w:b/>
          <w:i w:val="0"/>
        </w:rPr>
        <w:t>D5229 · Moisture uptake calibration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ListBullet"/>
      </w:pPr>
      <w:r>
        <w:rPr>
          <w:b w:val="0"/>
          <w:i w:val="0"/>
        </w:rPr>
        <w:t>Virtual test · Fickian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65">
        <w:r>
          <w:rPr>
            <w:color w:val="176EA4"/>
          </w:rPr>
          <w:t>Theory &amp; limits</w:t>
        </w:r>
      </w:hyperlink>
      <w:r>
        <w:t xml:space="preserve"> </w:t>
      </w:r>
    </w:p>
    <w:p>
      <w:hyperlink r:id="rId66">
        <w:r>
          <w:rPr>
            <w:color w:val="176EA4"/>
          </w:rPr>
          <w:t>Guided exercise </w:t>
        </w:r>
      </w:hyperlink>
      <w:r>
        <w:t xml:space="preserve"> </w:t>
      </w:r>
    </w:p>
    <w:p>
      <w:pPr>
        <w:keepNext/>
      </w:pPr>
      <w:r>
        <w:rPr>
          <w:b/>
          <w:i w:val="0"/>
        </w:rPr>
        <w:t>D5961 · Bearing / bypass screening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pStyle w:val="ListBullet"/>
      </w:pPr>
      <w:r>
        <w:rPr>
          <w:b w:val="0"/>
          <w:i w:val="0"/>
        </w:rPr>
        <w:t>Virtual test · bearing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hyperlink r:id="rId67">
        <w:r>
          <w:rPr>
            <w:color w:val="176EA4"/>
          </w:rPr>
          <w:t>Theory &amp; limits</w:t>
        </w:r>
      </w:hyperlink>
      <w:r>
        <w:t xml:space="preserve"> </w:t>
      </w:r>
    </w:p>
    <w:p>
      <w:hyperlink r:id="rId68">
        <w:r>
          <w:rPr>
            <w:color w:val="176EA4"/>
          </w:rPr>
          <w:t>Guided exercise </w:t>
        </w:r>
      </w:hyperlink>
      <w:r>
        <w:t xml:space="preserve"> </w:t>
      </w:r>
    </w:p>
    <w:p>
      <w:pPr>
        <w:keepNext/>
      </w:pPr>
      <w:r>
        <w:rPr>
          <w:b/>
          <w:i w:val="0"/>
        </w:rPr>
        <w:t>D6484 · Open-hole compression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pStyle w:val="ListBullet"/>
      </w:pPr>
      <w:r>
        <w:rPr>
          <w:b w:val="0"/>
          <w:i w:val="0"/>
        </w:rPr>
        <w:t>Virtual test · measured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hyperlink r:id="rId69">
        <w:r>
          <w:rPr>
            <w:color w:val="176EA4"/>
          </w:rPr>
          <w:t>Theory &amp; limits</w:t>
        </w:r>
      </w:hyperlink>
      <w:r>
        <w:t xml:space="preserve"> </w:t>
      </w:r>
    </w:p>
    <w:p>
      <w:hyperlink r:id="rId70">
        <w:r>
          <w:rPr>
            <w:color w:val="176EA4"/>
          </w:rPr>
          <w:t>Guided exercise </w:t>
        </w:r>
      </w:hyperlink>
      <w:r>
        <w:t xml:space="preserve"> </w:t>
      </w:r>
    </w:p>
    <w:p>
      <w:pPr>
        <w:keepNext/>
      </w:pPr>
      <w:r>
        <w:rPr>
          <w:b/>
          <w:i w:val="0"/>
        </w:rPr>
        <w:t>D6742 · Filled-hole comparison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pStyle w:val="ListBullet"/>
      </w:pPr>
      <w:r>
        <w:rPr>
          <w:b w:val="0"/>
          <w:i w:val="0"/>
        </w:rPr>
        <w:t>Virtual test · measured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hyperlink r:id="rId71">
        <w:r>
          <w:rPr>
            <w:color w:val="176EA4"/>
          </w:rPr>
          <w:t>Theory &amp; limits</w:t>
        </w:r>
      </w:hyperlink>
      <w:r>
        <w:t xml:space="preserve"> </w:t>
      </w:r>
    </w:p>
    <w:p>
      <w:hyperlink r:id="rId72">
        <w:r>
          <w:rPr>
            <w:color w:val="176EA4"/>
          </w:rPr>
          <w:t>Guided exercise </w:t>
        </w:r>
      </w:hyperlink>
      <w:r>
        <w:t xml:space="preserve"> </w:t>
      </w:r>
    </w:p>
    <w:p>
      <w:pPr>
        <w:keepNext/>
      </w:pPr>
      <w:r>
        <w:rPr>
          <w:b/>
          <w:i w:val="0"/>
        </w:rPr>
        <w:t>D7136 / D7137 · Impact &amp; CAI assessment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ListBullet"/>
      </w:pPr>
      <w:r>
        <w:rPr>
          <w:b w:val="0"/>
          <w:i w:val="0"/>
        </w:rPr>
        <w:t>Virtual test · measured impact and CAI</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73">
        <w:r>
          <w:rPr>
            <w:color w:val="176EA4"/>
          </w:rPr>
          <w:t>Theory &amp; limits</w:t>
        </w:r>
      </w:hyperlink>
      <w:r>
        <w:t xml:space="preserve"> </w:t>
      </w:r>
    </w:p>
    <w:p>
      <w:hyperlink r:id="rId74">
        <w:r>
          <w:rPr>
            <w:color w:val="176EA4"/>
          </w:rPr>
          <w:t>Guided exercise </w:t>
        </w:r>
      </w:hyperlink>
      <w:r>
        <w:t xml:space="preserve"> </w:t>
      </w:r>
    </w:p>
    <w:p>
      <w:pPr>
        <w:pStyle w:val="Heading3"/>
      </w:pPr>
      <w:r>
        <w:t>Electromagnetics RF</w:t>
      </w:r>
    </w:p>
    <w:p>
      <w:pPr/>
      <w:r>
        <w:rPr>
          <w:b w:val="0"/>
          <w:i w:val="0"/>
        </w:rPr>
        <w:t>Design dielectric mixtures, shielding and periodic layers</w:t>
      </w:r>
    </w:p>
    <w:p>
      <w:pPr>
        <w:pStyle w:val="ListBullet"/>
      </w:pPr>
      <w:r>
        <w:rPr>
          <w:b w:val="0"/>
          <w:i w:val="0"/>
        </w:rPr>
        <w:t>Electrical properties &amp; layers</w:t>
      </w:r>
    </w:p>
    <w:p>
      <w:pPr>
        <w:pStyle w:val="ListBullet"/>
      </w:pPr>
      <w:r>
        <w:rPr>
          <w:b w:val="0"/>
          <w:i w:val="0"/>
        </w:rPr>
        <w:t>Effective medium / wave propagation</w:t>
      </w:r>
    </w:p>
    <w:p>
      <w:pPr>
        <w:pStyle w:val="ListBullet"/>
      </w:pPr>
      <w:r>
        <w:rPr>
          <w:b w:val="0"/>
          <w:i w:val="0"/>
        </w:rPr>
        <w:t>Permittivity &amp; RF response</w:t>
      </w:r>
    </w:p>
    <w:p>
      <w:pPr>
        <w:keepNext/>
      </w:pPr>
      <w:r>
        <w:rPr>
          <w:b/>
          <w:i w:val="0"/>
        </w:rPr>
        <w:t xml:space="preserve">Explore </w:t>
      </w:r>
      <w:r>
        <w:rPr>
          <w:b/>
          <w:i w:val="0"/>
        </w:rPr>
        <w:t xml:space="preserve"> </w:t>
      </w:r>
      <w:r>
        <w:rPr>
          <w:b/>
          <w:i w:val="0"/>
        </w:rPr>
        <w:t>13</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13</w:t>
      </w:r>
      <w:r>
        <w:rPr>
          <w:b/>
          <w:i w:val="0"/>
        </w:rPr>
        <w:t xml:space="preserve"> </w:t>
      </w:r>
      <w:r>
        <w:rPr>
          <w:b/>
          <w:i w:val="0"/>
        </w:rPr>
        <w:t xml:space="preserve"> model choices</w:t>
      </w:r>
    </w:p>
    <w:p>
      <w:pPr>
        <w:keepNext/>
      </w:pPr>
      <w:r>
        <w:rPr>
          <w:b/>
          <w:i w:val="0"/>
        </w:rPr>
        <w:t>Wiener series and parallel</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Wiener series and parallel</w:t>
      </w:r>
    </w:p>
    <w:p>
      <w:pPr/>
      <w:r>
        <w:rPr>
          <w:b w:val="0"/>
          <w:i w:val="0"/>
        </w:rPr>
        <w:t>Positive lossless dielectric bounds; complex directional estimates.</w:t>
      </w:r>
    </w:p>
    <w:p>
      <w:hyperlink r:id="rId75">
        <w:r>
          <w:rPr>
            <w:color w:val="176EA4"/>
          </w:rPr>
          <w:t>Theory &amp; limits</w:t>
        </w:r>
      </w:hyperlink>
      <w:r>
        <w:t xml:space="preserve"> </w:t>
      </w:r>
    </w:p>
    <w:p>
      <w:hyperlink r:id="rId76">
        <w:r>
          <w:rPr>
            <w:color w:val="176EA4"/>
          </w:rPr>
          <w:t>Guided exercise </w:t>
        </w:r>
      </w:hyperlink>
      <w:r>
        <w:t xml:space="preserve"> </w:t>
      </w:r>
    </w:p>
    <w:p>
      <w:pPr>
        <w:keepNext/>
      </w:pPr>
      <w:r>
        <w:rPr>
          <w:b/>
          <w:i w:val="0"/>
        </w:rPr>
        <w:t>Looyenga / Landau–Lifshitz–Looyenga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Looyenga / Landau–Lifshitz–Looyenga</w:t>
      </w:r>
    </w:p>
    <w:p>
      <w:pPr/>
      <w:r>
        <w:rPr>
          <w:b w:val="0"/>
          <w:i w:val="0"/>
        </w:rPr>
        <w:t>One cube-root mixing law, not two independent models.</w:t>
      </w:r>
    </w:p>
    <w:p>
      <w:hyperlink r:id="rId77">
        <w:r>
          <w:rPr>
            <w:color w:val="176EA4"/>
          </w:rPr>
          <w:t>Theory &amp; limits</w:t>
        </w:r>
      </w:hyperlink>
      <w:r>
        <w:t xml:space="preserve"> </w:t>
      </w:r>
    </w:p>
    <w:p>
      <w:hyperlink r:id="rId78">
        <w:r>
          <w:rPr>
            <w:color w:val="176EA4"/>
          </w:rPr>
          <w:t>Guided exercise </w:t>
        </w:r>
      </w:hyperlink>
      <w:r>
        <w:t xml:space="preserve"> </w:t>
      </w:r>
    </w:p>
    <w:p>
      <w:pPr>
        <w:keepNext/>
      </w:pPr>
      <w:r>
        <w:rPr>
          <w:b/>
          <w:i w:val="0"/>
        </w:rPr>
        <w:t>Maxwell–Garnett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Maxwell–Garnett</w:t>
      </w:r>
    </w:p>
    <w:p>
      <w:pPr/>
      <w:r>
        <w:rPr>
          <w:b w:val="0"/>
          <w:i w:val="0"/>
        </w:rPr>
        <w:t>Dilute subwavelength spherical inclusions in a host.</w:t>
      </w:r>
    </w:p>
    <w:p>
      <w:hyperlink r:id="rId79">
        <w:r>
          <w:rPr>
            <w:color w:val="176EA4"/>
          </w:rPr>
          <w:t>Theory &amp; limits</w:t>
        </w:r>
      </w:hyperlink>
      <w:r>
        <w:t xml:space="preserve"> </w:t>
      </w:r>
    </w:p>
    <w:p>
      <w:hyperlink r:id="rId80">
        <w:r>
          <w:rPr>
            <w:color w:val="176EA4"/>
          </w:rPr>
          <w:t>Guided exercise </w:t>
        </w:r>
      </w:hyperlink>
      <w:r>
        <w:t xml:space="preserve"> </w:t>
      </w:r>
    </w:p>
    <w:p>
      <w:pPr>
        <w:keepNext/>
      </w:pPr>
      <w:r>
        <w:rPr>
          <w:b/>
          <w:i w:val="0"/>
        </w:rPr>
        <w:t>Normal-incidence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Normal-incidence laminate TMM</w:t>
      </w:r>
    </w:p>
    <w:p>
      <w:pPr/>
      <w:r>
        <w:rPr>
          <w:b w:val="0"/>
          <w:i w:val="0"/>
        </w:rPr>
        <w:t>Coherent isotropic nonmagnetic layers between air half-spaces.</w:t>
      </w:r>
    </w:p>
    <w:p>
      <w:hyperlink r:id="rId81">
        <w:r>
          <w:rPr>
            <w:color w:val="176EA4"/>
          </w:rPr>
          <w:t>Theory &amp; limits</w:t>
        </w:r>
      </w:hyperlink>
      <w:r>
        <w:t xml:space="preserve"> </w:t>
      </w:r>
    </w:p>
    <w:p>
      <w:hyperlink r:id="rId82">
        <w:r>
          <w:rPr>
            <w:color w:val="176EA4"/>
          </w:rPr>
          <w:t>Guided exercise </w:t>
        </w:r>
      </w:hyperlink>
      <w:r>
        <w:t xml:space="preserve"> </w:t>
      </w:r>
    </w:p>
    <w:p>
      <w:pPr>
        <w:keepNext/>
      </w:pPr>
      <w:r>
        <w:rPr>
          <w:b/>
          <w:i w:val="0"/>
        </w:rPr>
        <w:t>Bruggeman symmetric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Bruggeman symmetric EMT</w:t>
      </w:r>
    </w:p>
    <w:p>
      <w:pPr/>
      <w:r>
        <w:rPr>
          <w:b w:val="0"/>
          <w:i w:val="0"/>
        </w:rPr>
        <w:t>Two positive-permittivity phases; no explicit contact network.</w:t>
      </w:r>
    </w:p>
    <w:p>
      <w:hyperlink r:id="rId83">
        <w:r>
          <w:rPr>
            <w:color w:val="176EA4"/>
          </w:rPr>
          <w:t>Theory &amp; limits</w:t>
        </w:r>
      </w:hyperlink>
      <w:r>
        <w:t xml:space="preserve"> </w:t>
      </w:r>
    </w:p>
    <w:p>
      <w:hyperlink r:id="rId84">
        <w:r>
          <w:rPr>
            <w:color w:val="176EA4"/>
          </w:rPr>
          <w:t>Guided exercise </w:t>
        </w:r>
      </w:hyperlink>
      <w:r>
        <w:t xml:space="preserve"> </w:t>
      </w:r>
    </w:p>
    <w:p>
      <w:pPr>
        <w:keepNext/>
      </w:pPr>
      <w:r>
        <w:rPr>
          <w:b/>
          <w:i w:val="0"/>
        </w:rPr>
        <w:t>EM Mori–Tanaka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Mori–Tanaka</w:t>
      </w:r>
    </w:p>
    <w:p>
      <w:pPr/>
      <w:r>
        <w:rPr>
          <w:b w:val="0"/>
          <w:i w:val="0"/>
        </w:rPr>
        <w:t>Scalar principal-axis ellipsoidal field approximation.</w:t>
      </w:r>
    </w:p>
    <w:p>
      <w:hyperlink r:id="rId85">
        <w:r>
          <w:rPr>
            <w:color w:val="176EA4"/>
          </w:rPr>
          <w:t>Theory &amp; limits</w:t>
        </w:r>
      </w:hyperlink>
      <w:r>
        <w:t xml:space="preserve"> </w:t>
      </w:r>
    </w:p>
    <w:p>
      <w:hyperlink r:id="rId86">
        <w:r>
          <w:rPr>
            <w:color w:val="176EA4"/>
          </w:rPr>
          <w:t>Guided exercise </w:t>
        </w:r>
      </w:hyperlink>
      <w:r>
        <w:t xml:space="preserve"> </w:t>
      </w:r>
    </w:p>
    <w:p>
      <w:pPr>
        <w:keepNext/>
      </w:pPr>
      <w:r>
        <w:rPr>
          <w:b/>
          <w:i w:val="0"/>
        </w:rPr>
        <w:t>EM self-consistent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self-consistent</w:t>
      </w:r>
    </w:p>
    <w:p>
      <w:pPr/>
      <w:r>
        <w:rPr>
          <w:b w:val="0"/>
          <w:i w:val="0"/>
        </w:rPr>
        <w:t>Scalar principal-axis self-consistency; spherical case equals Bruggeman.</w:t>
      </w:r>
    </w:p>
    <w:p>
      <w:hyperlink r:id="rId87">
        <w:r>
          <w:rPr>
            <w:color w:val="176EA4"/>
          </w:rPr>
          <w:t>Theory &amp; limits</w:t>
        </w:r>
      </w:hyperlink>
      <w:r>
        <w:t xml:space="preserve"> </w:t>
      </w:r>
    </w:p>
    <w:p>
      <w:hyperlink r:id="rId88">
        <w:r>
          <w:rPr>
            <w:color w:val="176EA4"/>
          </w:rPr>
          <w:t>Guided exercise </w:t>
        </w:r>
      </w:hyperlink>
      <w:r>
        <w:t xml:space="preserve"> </w:t>
      </w:r>
    </w:p>
    <w:p>
      <w:pPr>
        <w:keepNext/>
      </w:pPr>
      <w:r>
        <w:rPr>
          <w:b/>
          <w:i w:val="0"/>
        </w:rPr>
        <w:t>Differential effective medium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Differential effective medium</w:t>
      </w:r>
    </w:p>
    <w:p>
      <w:pPr/>
      <w:r>
        <w:rPr>
          <w:b w:val="0"/>
          <w:i w:val="0"/>
        </w:rPr>
        <w:t>Incremental mixing with time-step refinement check.</w:t>
      </w:r>
    </w:p>
    <w:p>
      <w:hyperlink r:id="rId89">
        <w:r>
          <w:rPr>
            <w:color w:val="176EA4"/>
          </w:rPr>
          <w:t>Theory &amp; limits</w:t>
        </w:r>
      </w:hyperlink>
      <w:r>
        <w:t xml:space="preserve"> </w:t>
      </w:r>
    </w:p>
    <w:p>
      <w:hyperlink r:id="rId90">
        <w:r>
          <w:rPr>
            <w:color w:val="176EA4"/>
          </w:rPr>
          <w:t>Guided exercise </w:t>
        </w:r>
      </w:hyperlink>
      <w:r>
        <w:t xml:space="preserve"> </w:t>
      </w:r>
    </w:p>
    <w:p>
      <w:pPr>
        <w:keepNext/>
      </w:pPr>
      <w:r>
        <w:rPr>
          <w:b/>
          <w:i w:val="0"/>
        </w:rPr>
        <w:t>Coated sphere and interphase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Coated sphere and interphase</w:t>
      </w:r>
    </w:p>
    <w:p>
      <w:pPr/>
      <w:r>
        <w:rPr>
          <w:b w:val="0"/>
          <w:i w:val="0"/>
        </w:rPr>
        <w:t>Concentric subwavelength coated spheres; no dynamic Mie scattering.</w:t>
      </w:r>
    </w:p>
    <w:p>
      <w:hyperlink r:id="rId91">
        <w:r>
          <w:rPr>
            <w:color w:val="176EA4"/>
          </w:rPr>
          <w:t>Theory &amp; limits</w:t>
        </w:r>
      </w:hyperlink>
      <w:r>
        <w:t xml:space="preserve"> </w:t>
      </w:r>
    </w:p>
    <w:p>
      <w:hyperlink r:id="rId92">
        <w:r>
          <w:rPr>
            <w:color w:val="176EA4"/>
          </w:rPr>
          <w:t>Guided exercise </w:t>
        </w:r>
      </w:hyperlink>
      <w:r>
        <w:t xml:space="preserve"> </w:t>
      </w:r>
    </w:p>
    <w:p>
      <w:pPr>
        <w:keepNext/>
      </w:pPr>
      <w:r>
        <w:rPr>
          <w:b/>
          <w:i w:val="0"/>
        </w:rPr>
        <w:t>Generalized multiphase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Generalized multiphase EMT</w:t>
      </w:r>
    </w:p>
    <w:p>
      <w:pPr/>
      <w:r>
        <w:rPr>
          <w:b w:val="0"/>
          <w:i w:val="0"/>
        </w:rPr>
        <w:t>Spherical multiphase Bruggeman with convergence checks.</w:t>
      </w:r>
    </w:p>
    <w:p>
      <w:hyperlink r:id="rId93">
        <w:r>
          <w:rPr>
            <w:color w:val="176EA4"/>
          </w:rPr>
          <w:t>Theory &amp; limits</w:t>
        </w:r>
      </w:hyperlink>
      <w:r>
        <w:t xml:space="preserve"> </w:t>
      </w:r>
    </w:p>
    <w:p>
      <w:hyperlink r:id="rId94">
        <w:r>
          <w:rPr>
            <w:color w:val="176EA4"/>
          </w:rPr>
          <w:t>Guided exercise </w:t>
        </w:r>
      </w:hyperlink>
      <w:r>
        <w:t xml:space="preserve"> </w:t>
      </w:r>
    </w:p>
    <w:p>
      <w:pPr>
        <w:keepNext/>
      </w:pPr>
      <w:r>
        <w:rPr>
          <w:b/>
          <w:i w:val="0"/>
        </w:rPr>
        <w:t>Oblique polarized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Oblique polarized laminate TMM</w:t>
      </w:r>
    </w:p>
    <w:p>
      <w:pPr/>
      <w:r>
        <w:rPr>
          <w:b w:val="0"/>
          <w:i w:val="0"/>
        </w:rPr>
        <w:t>TE or TM waves; scalar isotropic layers, no polarization conversion.</w:t>
      </w:r>
    </w:p>
    <w:p>
      <w:hyperlink r:id="rId95">
        <w:r>
          <w:rPr>
            <w:color w:val="176EA4"/>
          </w:rPr>
          <w:t>Theory &amp; limits</w:t>
        </w:r>
      </w:hyperlink>
      <w:r>
        <w:t xml:space="preserve"> </w:t>
      </w:r>
    </w:p>
    <w:p>
      <w:hyperlink r:id="rId96">
        <w:r>
          <w:rPr>
            <w:color w:val="176EA4"/>
          </w:rPr>
          <w:t>Guided exercise </w:t>
        </w:r>
      </w:hyperlink>
      <w:r>
        <w:t xml:space="preserve"> </w:t>
      </w:r>
    </w:p>
    <w:p>
      <w:pPr>
        <w:keepNext/>
      </w:pPr>
      <w:r>
        <w:rPr>
          <w:b/>
          <w:i w:val="0"/>
        </w:rPr>
        <w:t>1D transmission line matrix</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pStyle w:val="ListBullet"/>
      </w:pPr>
      <w:r>
        <w:rPr>
          <w:b w:val="0"/>
          <w:i w:val="0"/>
        </w:rPr>
        <w:t>EM · 1D transmission line matrix</w:t>
      </w:r>
    </w:p>
    <w:p>
      <w:pPr/>
      <w:r>
        <w:rPr>
          <w:b w:val="0"/>
          <w:i w:val="0"/>
        </w:rPr>
        <w:t>Normal-incidence lossless delay-line mesh with pulse decay, energy and mesh-refinement safeguards. Explicit Run required; not a 3D solver.</w:t>
      </w:r>
    </w:p>
    <w:p>
      <w:hyperlink r:id="rId97">
        <w:r>
          <w:rPr>
            <w:color w:val="176EA4"/>
          </w:rPr>
          <w:t>Theory &amp; limits</w:t>
        </w:r>
      </w:hyperlink>
      <w:r>
        <w:t xml:space="preserve"> </w:t>
      </w:r>
    </w:p>
    <w:p>
      <w:hyperlink r:id="rId98">
        <w:r>
          <w:rPr>
            <w:color w:val="176EA4"/>
          </w:rPr>
          <w:t>Guided exercise </w:t>
        </w:r>
      </w:hyperlink>
      <w:r>
        <w:t xml:space="preserve"> </w:t>
      </w:r>
    </w:p>
    <w:p>
      <w:pPr>
        <w:keepNext/>
      </w:pPr>
      <w:r>
        <w:rPr>
          <w:b/>
          <w:i w:val="0"/>
        </w:rPr>
        <w:t>1D Floquet–Bloch periodic layers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pStyle w:val="ListBullet"/>
      </w:pPr>
      <w:r>
        <w:rPr>
          <w:b w:val="0"/>
          <w:i w:val="0"/>
        </w:rPr>
        <w:t>EM · 1D Floquet–Bloch periodic layers</w:t>
      </w:r>
    </w:p>
    <w:p>
      <w:pPr/>
      <w:r>
        <w:rPr>
          <w:b w:val="0"/>
          <w:i w:val="0"/>
        </w:rPr>
        <w:t>Lossless isotropic A/B unit-cell eigenvalues, folded Bloch phase and stop-band attenuation at normal incidence. Not arbitrary-cell homogenization.</w:t>
      </w:r>
    </w:p>
    <w:p>
      <w:hyperlink r:id="rId99">
        <w:r>
          <w:rPr>
            <w:color w:val="176EA4"/>
          </w:rPr>
          <w:t>Theory &amp; limits</w:t>
        </w:r>
      </w:hyperlink>
      <w:r>
        <w:t xml:space="preserve"> </w:t>
      </w:r>
    </w:p>
    <w:p>
      <w:hyperlink r:id="rId100">
        <w:r>
          <w:rPr>
            <w:color w:val="176EA4"/>
          </w:rPr>
          <w:t>Guided exercise </w:t>
        </w:r>
      </w:hyperlink>
      <w:r>
        <w:t xml:space="preserve"> </w:t>
      </w:r>
    </w:p>
    <w:p>
      <w:pPr>
        <w:keepNext/>
      </w:pPr>
      <w:r>
        <w:rPr>
          <w:b/>
          <w:i w:val="0"/>
        </w:rPr>
        <w:t>Detailed integrated solver hierarchy · open the full diagram</w:t>
      </w:r>
    </w:p>
    <w:p>
      <w:pPr>
        <w:pStyle w:val="Caption"/>
        <w:keepNext/>
      </w:pPr>
      <w:r>
        <w:t>Integrated composite solver hierarchy from materials and Cox elastic micromechanics through CLT, FSDT, cylinder mechanics, LaRC04, cohesive delamination and separate fatigue assessment — part 1 of 2</w:t>
      </w:r>
    </w:p>
    <w:p>
      <w:pPr>
        <w:keepNext w:val="0"/>
        <w:jc w:val="center"/>
      </w:pPr>
      <w:r>
        <w:drawing>
          <wp:inline xmlns:a="http://schemas.openxmlformats.org/drawingml/2006/main" xmlns:pic="http://schemas.openxmlformats.org/drawingml/2006/picture">
            <wp:extent cx="6217920" cy="5532818"/>
            <wp:docPr id="1" name="Picture 1" descr="Integrated composite solver hierarchy from materials and Cox elastic micromechanics through CLT, FSDT, cylinder mechanics, LaRC04, cohesive delamination and separate fatigue assessment"/>
            <wp:cNvGraphicFramePr>
              <a:graphicFrameLocks noChangeAspect="1"/>
            </wp:cNvGraphicFramePr>
            <a:graphic>
              <a:graphicData uri="http://schemas.openxmlformats.org/drawingml/2006/picture">
                <pic:pic>
                  <pic:nvPicPr>
                    <pic:cNvPr id="0" name="rsvg-0af41cb085c2439626eb0477116183c90f0641ad563ce168e92cbd3f15d48f4f-part-1.png"/>
                    <pic:cNvPicPr/>
                  </pic:nvPicPr>
                  <pic:blipFill>
                    <a:blip r:embed="rId101"/>
                    <a:stretch>
                      <a:fillRect/>
                    </a:stretch>
                  </pic:blipFill>
                  <pic:spPr>
                    <a:xfrm>
                      <a:off x="0" y="0"/>
                      <a:ext cx="6217920" cy="5532818"/>
                    </a:xfrm>
                    <a:prstGeom prst="rect"/>
                  </pic:spPr>
                </pic:pic>
              </a:graphicData>
            </a:graphic>
          </wp:inline>
        </w:drawing>
      </w:r>
    </w:p>
    <w:p>
      <w:pPr>
        <w:pStyle w:val="Caption"/>
        <w:keepNext/>
      </w:pPr>
      <w:r>
        <w:t>Integrated composite solver hierarchy from materials and Cox elastic micromechanics through CLT, FSDT, cylinder mechanics, LaRC04, cohesive delamination and separate fatigue assessment — part 2 of 2</w:t>
      </w:r>
    </w:p>
    <w:p>
      <w:pPr>
        <w:keepNext w:val="0"/>
        <w:jc w:val="center"/>
      </w:pPr>
      <w:r>
        <w:drawing>
          <wp:inline xmlns:a="http://schemas.openxmlformats.org/drawingml/2006/main" xmlns:pic="http://schemas.openxmlformats.org/drawingml/2006/picture">
            <wp:extent cx="6217920" cy="5489858"/>
            <wp:docPr id="2" name="Picture 2" descr="Integrated composite solver hierarchy from materials and Cox elastic micromechanics through CLT, FSDT, cylinder mechanics, LaRC04, cohesive delamination and separate fatigue assessment"/>
            <wp:cNvGraphicFramePr>
              <a:graphicFrameLocks noChangeAspect="1"/>
            </wp:cNvGraphicFramePr>
            <a:graphic>
              <a:graphicData uri="http://schemas.openxmlformats.org/drawingml/2006/picture">
                <pic:pic>
                  <pic:nvPicPr>
                    <pic:cNvPr id="0" name="rsvg-0af41cb085c2439626eb0477116183c90f0641ad563ce168e92cbd3f15d48f4f-part-2.png"/>
                    <pic:cNvPicPr/>
                  </pic:nvPicPr>
                  <pic:blipFill>
                    <a:blip r:embed="rId102"/>
                    <a:stretch>
                      <a:fillRect/>
                    </a:stretch>
                  </pic:blipFill>
                  <pic:spPr>
                    <a:xfrm>
                      <a:off x="0" y="0"/>
                      <a:ext cx="6217920" cy="5489858"/>
                    </a:xfrm>
                    <a:prstGeom prst="rect"/>
                  </pic:spPr>
                </pic:pic>
              </a:graphicData>
            </a:graphic>
          </wp:inline>
        </w:drawing>
      </w:r>
    </w:p>
    <w:p>
      <w:pPr/>
      <w:r>
        <w:rPr>
          <w:b w:val="0"/>
          <w:i w:val="0"/>
        </w:rPr>
        <w:t xml:space="preserve">Each branch has its own compatible inputs and assumptions—not every model runs in one simulation. Fatigue S–N and calibrated residual-property studies are separate from progressive failure; neither automatically changes the saved laminate or optimization properties. </w:t>
      </w:r>
      <w:hyperlink r:id="rId44">
        <w:r>
          <w:rPr>
            <w:color w:val="176EA4"/>
          </w:rPr>
          <w:t>∑ Fatigue theory</w:t>
        </w:r>
      </w:hyperlink>
      <w:r>
        <w:t xml:space="preserve"> </w:t>
      </w:r>
      <w:r>
        <w:rPr>
          <w:b w:val="0"/>
          <w:i w:val="0"/>
        </w:rPr>
        <w:t>.</w:t>
      </w:r>
    </w:p>
    <w:p>
      <w:pPr/>
      <w:r>
        <w:rPr>
          <w:b w:val="0"/>
          <w:i w:val="0"/>
        </w:rPr>
        <w:t xml:space="preserve">Optimization, progressive updates, reports and exports support compatible studies. </w:t>
      </w:r>
      <w:hyperlink r:id="rId103">
        <w:r>
          <w:rPr>
            <w:color w:val="176EA4"/>
          </w:rPr>
          <w:t>Explore automation and results →</w:t>
        </w:r>
      </w:hyperlink>
      <w:r>
        <w:t xml:space="preserve"> </w:t>
      </w:r>
      <w:r>
        <w:rPr>
          <w:b w:val="0"/>
          <w:i w:val="0"/>
        </w:rPr>
        <w:t xml:space="preserve"> · </w:t>
      </w:r>
      <w:hyperlink r:id="rId104">
        <w:r>
          <w:rPr>
            <w:color w:val="176EA4"/>
          </w:rPr>
          <w:t>Compare packages and prices →</w:t>
        </w:r>
      </w:hyperlink>
      <w:r>
        <w:t xml:space="preserve"> </w:t>
      </w:r>
    </w:p>
    <w:p>
      <w:pPr>
        <w:pStyle w:val="Heading2"/>
      </w:pPr>
      <w:r>
        <w:t>Select cases and inspect your model</w:t>
      </w:r>
    </w:p>
    <w:p>
      <w:pPr>
        <w:keepNext/>
      </w:pPr>
      <w:r>
        <w:rPr>
          <w:b/>
          <w:i w:val="0"/>
        </w:rP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keepNext/>
      </w:pPr>
      <w:r>
        <w:rPr>
          <w:b/>
          <w:i w:val="0"/>
        </w:rP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confirmation of a successful solve.</w:t>
      </w:r>
    </w:p>
    <w:p>
      <w:pPr/>
      <w:r>
        <w:rPr>
          <w:b w:val="0"/>
          <w:i w:val="0"/>
        </w:rPr>
        <w:t>Selecting several cases does not add unsupported physics coupling. EM screening studies do not automatically heat the thermal case.</w:t>
      </w:r>
    </w:p>
    <w:p>
      <w:pPr>
        <w:keepNext/>
      </w:pPr>
      <w:r>
        <w:rPr>
          <w:b/>
          <w:i w:val="0"/>
        </w:rP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hyperlink r:id="rId105">
        <w:r>
          <w:rPr>
            <w:color w:val="176EA4"/>
          </w:rPr>
          <w:t>Complete block workflow guide</w:t>
        </w:r>
      </w:hyperlink>
      <w:r>
        <w:t xml:space="preserve"> </w:t>
      </w:r>
    </w:p>
    <w:p>
      <w:pPr>
        <w:pStyle w:val="Heading2"/>
      </w:pPr>
      <w:r>
        <w:t>RF and microwave studies</w:t>
      </w:r>
    </w:p>
    <w:p>
      <w:hyperlink r:id="rId79">
        <w:r>
          <w:rPr>
            <w:color w:val="176EA4"/>
          </w:rPr>
          <w:t>Dielectric phase inputs</w:t>
        </w:r>
      </w:hyperlink>
      <w:r>
        <w:t xml:space="preserve"> </w:t>
      </w:r>
      <w:r>
        <w:rPr>
          <w:b w:val="0"/>
          <w:i w:val="0"/>
        </w:rPr>
        <w:t>→</w:t>
      </w:r>
      <w:r>
        <w:t xml:space="preserve"> </w:t>
      </w:r>
      <w:hyperlink r:id="rId83">
        <w:r>
          <w:rPr>
            <w:color w:val="176EA4"/>
          </w:rPr>
          <w:t>Effective medium</w:t>
        </w:r>
      </w:hyperlink>
      <w:r>
        <w:t xml:space="preserve"> </w:t>
      </w:r>
      <w:r>
        <w:rPr>
          <w:b w:val="0"/>
          <w:i w:val="0"/>
        </w:rPr>
        <w:t>→ manual property handoff →</w:t>
      </w:r>
      <w:r>
        <w:t xml:space="preserve"> </w:t>
      </w:r>
      <w:hyperlink r:id="rId81">
        <w:r>
          <w:rPr>
            <w:color w:val="176EA4"/>
          </w:rPr>
          <w:t>RF laminate and EM field</w:t>
        </w:r>
      </w:hyperlink>
      <w:r>
        <w:t xml:space="preserve"> </w:t>
      </w:r>
      <w:r>
        <w:rPr>
          <w:b w:val="0"/>
          <w:i w:val="0"/>
        </w:rPr>
        <w:t>→</w:t>
      </w:r>
      <w:r>
        <w:t xml:space="preserve"> </w:t>
      </w:r>
      <w:hyperlink r:id="rId95">
        <w:r>
          <w:rPr>
            <w:color w:val="176EA4"/>
          </w:rPr>
          <w:t>Reflection · transmission · shielding</w:t>
        </w:r>
      </w:hyperlink>
      <w:r>
        <w:t xml:space="preserve"> </w:t>
      </w:r>
    </w:p>
    <w:p>
      <w:pPr/>
      <w:r>
        <w:rPr>
          <w:b w:val="0"/>
          <w:i w:val="0"/>
        </w:rPr>
        <w:t>Separate RF screening studies use measured electrical properties. They do not infer dielectric behavior from mechanical data or automatically couple electromagnetic heating into a process cycle.</w:t>
      </w:r>
    </w:p>
    <w:p>
      <w:hyperlink r:id="rId106">
        <w:r>
          <w:rPr>
            <w:color w:val="176EA4"/>
          </w:rPr>
          <w:t>Models, equations, worked example and limits </w:t>
        </w:r>
      </w:hyperlink>
      <w:r>
        <w:t xml:space="preserve"> </w:t>
      </w:r>
    </w:p>
    <w:p>
      <w:bookmarkStart w:id="2" w:name="chapter_2"/>
      <w:pPr>
        <w:pStyle w:val="Heading1"/>
        <w:pageBreakBefore/>
      </w:pPr>
      <w:r>
        <w:t>2 Turn model output into repeatable engineering results</w:t>
      </w:r>
      <w:bookmarkEnd w:id="2"/>
    </w:p>
    <w:p>
      <w:pPr>
        <w:pStyle w:val="Caption"/>
      </w:pPr>
      <w:hyperlink r:id="rId107">
        <w:r>
          <w:rPr>
            <w:color w:val="176EA4"/>
          </w:rPr>
          <w:t>Online chapter</w:t>
        </w:r>
      </w:hyperlink>
      <w:r>
        <w:t xml:space="preserve"> </w:t>
      </w:r>
    </w:p>
    <w:p>
      <w:pPr/>
      <w:r>
        <w:rPr>
          <w:b w:val="0"/>
          <w:i w:val="0"/>
        </w:rPr>
        <w:t>CDS solves the handoff from analysis to decision by linking comparisons, fields, tables, parametric studies, and open exports across the complete composite model chain.</w:t>
      </w:r>
    </w:p>
    <w:p>
      <w:r>
        <w:rPr>
          <w:b/>
          <w:i w:val="0"/>
        </w:rPr>
        <w:t>02.7</w:t>
      </w:r>
      <w:r>
        <w:rPr>
          <w:b/>
          <w:i w:val="0"/>
        </w:rPr>
        <w:t xml:space="preserve"> </w:t>
      </w:r>
      <w:r>
        <w:rPr>
          <w:b/>
          <w:i w:val="0"/>
        </w:rPr>
        <w:t xml:space="preserve"> / Workbench — </w:t>
      </w:r>
      <w:r>
        <w:rPr>
          <w:b/>
          <w:i w:val="0"/>
        </w:rPr>
        <w:t xml:space="preserve"> </w:t>
      </w:r>
      <w:r>
        <w:rPr>
          <w:b/>
          <w:i w:val="0"/>
        </w:rPr>
        <w:t>Engineering results &amp; automation</w:t>
      </w:r>
      <w:r>
        <w:t xml:space="preserve"> </w:t>
      </w:r>
      <w:hyperlink r:id="rId108">
        <w:r>
          <w:rPr>
            <w:color w:val="176EA4"/>
          </w:rPr>
          <w:t>Open full-size view </w:t>
        </w:r>
      </w:hyperlink>
      <w:r>
        <w:t xml:space="preserve"> </w:t>
      </w:r>
    </w:p>
    <w:p>
      <w:pPr>
        <w:keepNext w:val="0"/>
        <w:jc w:val="center"/>
      </w:pPr>
      <w:r>
        <w:drawing>
          <wp:inline xmlns:a="http://schemas.openxmlformats.org/drawingml/2006/main" xmlns:pic="http://schemas.openxmlformats.org/drawingml/2006/picture">
            <wp:extent cx="6217920" cy="4304354"/>
            <wp:docPr id="3" name="Picture 3" descr="Laminate Ex–Ey carpet plot with an interactive design point and corresponding live laminate stack"/>
            <wp:cNvGraphicFramePr>
              <a:graphicFrameLocks noChangeAspect="1"/>
            </wp:cNvGraphicFramePr>
            <a:graphic>
              <a:graphicData uri="http://schemas.openxmlformats.org/drawingml/2006/picture">
                <pic:pic>
                  <pic:nvPicPr>
                    <pic:cNvPr id="0" name="41ea158514a54f9949759e528b78fd45dbe58b1a5d74a46fba9f64b6f2128116.png"/>
                    <pic:cNvPicPr/>
                  </pic:nvPicPr>
                  <pic:blipFill>
                    <a:blip r:embed="rId109"/>
                    <a:stretch>
                      <a:fillRect/>
                    </a:stretch>
                  </pic:blipFill>
                  <pic:spPr>
                    <a:xfrm>
                      <a:off x="0" y="0"/>
                      <a:ext cx="6217920" cy="4304354"/>
                    </a:xfrm>
                    <a:prstGeom prst="rect"/>
                  </pic:spPr>
                </pic:pic>
              </a:graphicData>
            </a:graphic>
          </wp:inline>
        </w:drawing>
      </w:r>
    </w:p>
    <w:p>
      <w:pPr/>
      <w:r>
        <w:rPr>
          <w:b w:val="0"/>
          <w:i w:val="0"/>
        </w:rPr>
        <w:t>A linked carpet plot and laminate stack make the selected design visible alongside its properties.</w:t>
      </w:r>
    </w:p>
    <w:p>
      <w:pPr/>
      <w:r>
        <w:rPr>
          <w:b w:val="0"/>
          <w:i w:val="0"/>
        </w:rPr>
        <w:t xml:space="preserve">Workbench capture · </w:t>
      </w:r>
      <w:r>
        <w:rPr>
          <w:b w:val="0"/>
          <w:i w:val="0"/>
        </w:rPr>
        <w:t xml:space="preserve"> </w:t>
      </w:r>
      <w:r>
        <w:rPr>
          <w:b w:val="0"/>
          <w:i w:val="0"/>
        </w:rPr>
        <w:t>September 6, 2026</w:t>
      </w:r>
      <w:r>
        <w:rPr>
          <w:b w:val="0"/>
          <w:i w:val="0"/>
        </w:rPr>
        <w:t xml:space="preserve"> </w:t>
      </w:r>
      <w:r>
        <w:rPr>
          <w:b w:val="0"/>
          <w:i w:val="0"/>
        </w:rPr>
        <w:t>. Representative interface and demo data, not a new solver run or validation certificate. Control locations may differ in later releases.</w:t>
      </w:r>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4" name="Picture 4" descr="CDS workflow or model illustration"/>
            <wp:cNvGraphicFramePr>
              <a:graphicFrameLocks noChangeAspect="1"/>
            </wp:cNvGraphicFramePr>
            <a:graphic>
              <a:graphicData uri="http://schemas.openxmlformats.org/drawingml/2006/picture">
                <pic:pic>
                  <pic:nvPicPr>
                    <pic:cNvPr id="0" name="rsvg-f24009332ae24c1362f2b359ad36a7ce9c736e742dd0a83654e84abeb7e1313b.png"/>
                    <pic:cNvPicPr/>
                  </pic:nvPicPr>
                  <pic:blipFill>
                    <a:blip r:embed="rId110"/>
                    <a:stretch>
                      <a:fillRect/>
                    </a:stretch>
                  </pic:blipFill>
                  <pic:spPr>
                    <a:xfrm>
                      <a:off x="0" y="0"/>
                      <a:ext cx="6217920" cy="1935767"/>
                    </a:xfrm>
                    <a:prstGeom prst="rect"/>
                  </pic:spPr>
                </pic:pic>
              </a:graphicData>
            </a:graphic>
          </wp:inline>
        </w:drawing>
      </w:r>
    </w:p>
    <w:p>
      <w:pPr/>
      <w:r>
        <w:rPr>
          <w:b w:val="0"/>
          <w:i w:val="0"/>
        </w:rPr>
        <w:t>Materials → Micro → Laminate.</w:t>
      </w:r>
    </w:p>
    <w:p>
      <w:pPr/>
      <w:r>
        <w:rPr>
          <w:b w:val="0"/>
          <w:i w:val="0"/>
        </w:rPr>
        <w:t>02.7</w:t>
      </w:r>
      <w:r>
        <w:rPr>
          <w:b w:val="0"/>
          <w:i w:val="0"/>
        </w:rPr>
        <w:t xml:space="preserve"> </w:t>
      </w:r>
      <w:r>
        <w:rPr>
          <w:b w:val="0"/>
          <w:i w:val="0"/>
        </w:rPr>
        <w:t xml:space="preserve"> / How CDS solves it</w:t>
      </w:r>
    </w:p>
    <w:p>
      <w:pPr/>
      <w:r>
        <w:rPr>
          <w:b w:val="0"/>
          <w:i w:val="0"/>
        </w:rPr>
        <w:t>From engineering question to validation data</w:t>
      </w:r>
    </w:p>
    <w:p>
      <w:pPr>
        <w:pStyle w:val="Heading2"/>
      </w:pPr>
      <w:r>
        <w:t>Compare properties</w:t>
      </w:r>
    </w:p>
    <w:p>
      <w:pPr/>
      <w:r>
        <w:rPr>
          <w:b w:val="0"/>
          <w:i w:val="0"/>
        </w:rPr>
        <w:t>Select one or more materials, laminas, laminates, simulations or optimization snapshots and review scrollable tables, bar charts, Ashby plots, line plots, property maps, and laminate stiffness matrices.</w:t>
      </w:r>
    </w:p>
    <w:p>
      <w:pPr>
        <w:pStyle w:val="Heading2"/>
      </w:pPr>
      <w:r>
        <w:t>Explore field response</w:t>
      </w:r>
    </w:p>
    <w:p>
      <w:pPr/>
      <w:r>
        <w:rPr>
          <w:b w:val="0"/>
          <w:i w:val="0"/>
        </w:rPr>
        <w:t>Move result cursors through time and thickness to update linked thermal plots, or select stress, strain, displacement, resultant, and factor-of-safety views for a structural case.</w:t>
      </w:r>
    </w:p>
    <w:p>
      <w:pPr>
        <w:pStyle w:val="Heading2"/>
      </w:pPr>
      <w:r>
        <w:t>Export the validation data</w:t>
      </w:r>
    </w:p>
    <w:p>
      <w:pPr/>
      <w:r>
        <w:rPr>
          <w:b w:val="0"/>
          <w:i w:val="0"/>
        </w:rPr>
        <w:t>Right-click supported tables to save CSV or XLSX data and presentation-oriented PPTX output where available, or write supported material cards for downstream finite-element analysis.</w:t>
      </w:r>
    </w:p>
    <w:p>
      <w:pPr/>
      <w:r>
        <w:rPr>
          <w:b w:val="0"/>
          <w:i w:val="0"/>
        </w:rPr>
        <w:t xml:space="preserve">Workbench availability: </w:t>
      </w:r>
      <w:hyperlink r:id="rId111">
        <w:r>
          <w:rPr>
            <w:color w:val="176EA4"/>
          </w:rPr>
          <w:t>released models, inputs and compatible study paths</w:t>
        </w:r>
      </w:hyperlink>
      <w:r>
        <w:t xml:space="preserve"> </w:t>
      </w:r>
      <w:r>
        <w:rPr>
          <w:b w:val="0"/>
          <w:i w:val="0"/>
        </w:rPr>
        <w:t>. The wider theory library includes reference formulations not available in every Workbench solve.</w:t>
      </w:r>
    </w:p>
    <w:p>
      <w:pPr>
        <w:keepNext/>
      </w:pPr>
      <w:r>
        <w:rPr>
          <w:b/>
          <w:i w:val="0"/>
        </w:rPr>
        <w:t>Released models, connections and theory</w:t>
      </w:r>
    </w:p>
    <w:p>
      <w:pPr/>
      <w:hyperlink r:id="rId111">
        <w:r>
          <w:rPr>
            <w:color w:val="176EA4"/>
          </w:rPr>
          <w:t>Complete model directory </w:t>
        </w:r>
      </w:hyperlink>
      <w:r>
        <w:t xml:space="preserve"> </w:t>
      </w:r>
    </w:p>
    <w:p>
      <w:pPr>
        <w:pStyle w:val="Heading3"/>
      </w:pPr>
      <w:r>
        <w:t>Materials micromechanics</w:t>
      </w:r>
    </w:p>
    <w:p>
      <w:pPr/>
      <w:r>
        <w:rPr>
          <w:b w:val="0"/>
          <w:i w:val="0"/>
        </w:rPr>
        <w:t>Design a ply or reinforced feedstock</w:t>
      </w:r>
    </w:p>
    <w:p>
      <w:pPr>
        <w:pStyle w:val="ListBullet"/>
      </w:pPr>
      <w:r>
        <w:rPr>
          <w:b w:val="0"/>
          <w:i w:val="0"/>
        </w:rPr>
        <w:t>Constituents &amp; architecture</w:t>
      </w:r>
    </w:p>
    <w:p>
      <w:pPr>
        <w:pStyle w:val="ListBullet"/>
      </w:pPr>
      <w:r>
        <w:rPr>
          <w:b w:val="0"/>
          <w:i w:val="0"/>
        </w:rPr>
        <w:t>Homogenization</w:t>
      </w:r>
    </w:p>
    <w:p>
      <w:pPr>
        <w:pStyle w:val="ListBullet"/>
      </w:pPr>
      <w:r>
        <w:rPr>
          <w:b w:val="0"/>
          <w:i w:val="0"/>
        </w:rPr>
        <w:t>Ply properties</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Micromechanics</w:t>
      </w:r>
      <w:r>
        <w:rPr>
          <w:b/>
          <w:i w:val="0"/>
        </w:rPr>
        <w:t xml:space="preserve"> </w:t>
      </w:r>
      <w:r>
        <w:rPr>
          <w:b/>
          <w:i w:val="0"/>
        </w:rPr>
        <w:t xml:space="preserve"> </w:t>
      </w:r>
      <w:r>
        <w:rPr>
          <w:b/>
          <w:i w:val="0"/>
        </w:rPr>
        <w:t xml:space="preserve">· </w:t>
      </w:r>
      <w:r>
        <w:rPr>
          <w:b/>
          <w:i w:val="0"/>
        </w:rPr>
        <w:t xml:space="preserve"> </w:t>
      </w:r>
      <w:r>
        <w:rPr>
          <w:b/>
          <w:i w:val="0"/>
        </w:rPr>
        <w:t>9</w:t>
      </w:r>
      <w:r>
        <w:rPr>
          <w:b/>
        </w:rPr>
        <w:t xml:space="preserve"> </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pPr/>
      <w:r>
        <w:rPr>
          <w:b w:val="0"/>
          <w:i w:val="0"/>
        </w:rPr>
        <w:t>One compatible homogenization model per Micro recipe. Use separate recipes for comparisons; they are not combined in a single ply.</w:t>
      </w:r>
    </w:p>
    <w:p>
      <w:hyperlink r:id="rId11">
        <w:r>
          <w:rPr>
            <w:color w:val="176EA4"/>
          </w:rPr>
          <w:t>Theory &amp; limits</w:t>
        </w:r>
      </w:hyperlink>
      <w:r>
        <w:t xml:space="preserve"> </w:t>
      </w:r>
    </w:p>
    <w:p>
      <w:hyperlink r:id="rId12">
        <w:r>
          <w:rPr>
            <w:color w:val="176EA4"/>
          </w:rPr>
          <w:t>Guided exercise </w:t>
        </w:r>
      </w:hyperlink>
      <w:r>
        <w:t xml:space="preserve"> </w:t>
      </w:r>
    </w:p>
    <w:p>
      <w:pPr>
        <w:pStyle w:val="Heading3"/>
      </w:pPr>
      <w:r>
        <w:t>Heat moisture manufacturing</w:t>
      </w:r>
    </w:p>
    <w:p>
      <w:pPr/>
      <w:r>
        <w:rPr>
          <w:b w:val="0"/>
          <w:i w:val="0"/>
        </w:rPr>
        <w:t>Cure, pultrusion, conditioning and tool release</w:t>
      </w:r>
    </w:p>
    <w:p>
      <w:pPr>
        <w:pStyle w:val="ListBullet"/>
      </w:pPr>
      <w:r>
        <w:rPr>
          <w:b w:val="0"/>
          <w:i w:val="0"/>
        </w:rPr>
        <w:t>Material laws &amp; boundary cycles</w:t>
      </w:r>
    </w:p>
    <w:p>
      <w:pPr>
        <w:pStyle w:val="ListBullet"/>
      </w:pPr>
      <w:r>
        <w:rPr>
          <w:b w:val="0"/>
          <w:i w:val="0"/>
        </w:rPr>
        <w:t>Transport &amp; reaction</w:t>
      </w:r>
    </w:p>
    <w:p>
      <w:pPr>
        <w:pStyle w:val="ListBullet"/>
      </w:pPr>
      <w:r>
        <w:rPr>
          <w:b w:val="0"/>
          <w:i w:val="0"/>
        </w:rPr>
        <w:t>History &amp; compatible process fields</w:t>
      </w:r>
    </w:p>
    <w:p>
      <w:pPr>
        <w:keepNext/>
      </w:pPr>
      <w:r>
        <w:rPr>
          <w:b/>
          <w:i w:val="0"/>
        </w:rPr>
        <w:t xml:space="preserve">Explore </w:t>
      </w:r>
      <w:r>
        <w:rPr>
          <w:b/>
          <w:i w:val="0"/>
        </w:rPr>
        <w:t xml:space="preserve"> </w:t>
      </w:r>
      <w:r>
        <w:rPr>
          <w:b/>
          <w:i w:val="0"/>
        </w:rPr>
        <w:t>4</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14</w:t>
      </w:r>
      <w:r>
        <w:rPr>
          <w:b/>
          <w:i w:val="0"/>
        </w:rPr>
        <w:t xml:space="preserve"> </w:t>
      </w:r>
      <w:r>
        <w:rPr>
          <w:b/>
          <w:i w:val="0"/>
        </w:rPr>
        <w:t xml:space="preserve"> model choices</w:t>
      </w:r>
    </w:p>
    <w:p>
      <w:pPr>
        <w:keepNext/>
      </w:pPr>
      <w:r>
        <w:rPr>
          <w:b/>
          <w:i w:val="0"/>
        </w:rPr>
        <w:t>Cure, crystallization &amp; material transport</w:t>
      </w:r>
      <w:r>
        <w:rPr>
          <w:b/>
          <w:i w:val="0"/>
        </w:rPr>
        <w:t xml:space="preserve"> </w:t>
      </w:r>
      <w:r>
        <w:rPr>
          <w:b/>
          <w:i w:val="0"/>
        </w:rPr>
        <w:t xml:space="preserve"> </w:t>
      </w:r>
      <w:r>
        <w:rPr>
          <w:b/>
          <w:i w:val="0"/>
        </w:rPr>
        <w:t xml:space="preserve">· </w:t>
      </w:r>
      <w:r>
        <w:rPr>
          <w:b/>
          <w:i w:val="0"/>
        </w:rPr>
        <w:t xml:space="preserve"> </w:t>
      </w:r>
      <w:r>
        <w:rPr>
          <w:b/>
          <w:i w:val="0"/>
        </w:rPr>
        <w:t>8</w:t>
      </w:r>
      <w:r>
        <w:rPr>
          <w:b/>
        </w:rPr>
        <w:t xml:space="preserve"> </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pPr/>
      <w:r>
        <w:rPr>
          <w:b w:val="0"/>
          <w:i w:val="0"/>
        </w:rPr>
        <w:t>Independent model records can be linked together through material inputs. A saved model must be assigned to a material before it contributes to a simulation.</w:t>
      </w:r>
    </w:p>
    <w:p>
      <w:hyperlink r:id="rId13">
        <w:r>
          <w:rPr>
            <w:color w:val="176EA4"/>
          </w:rPr>
          <w:t>Theory &amp; limits</w:t>
        </w:r>
      </w:hyperlink>
      <w:r>
        <w:t xml:space="preserve"> </w:t>
      </w:r>
    </w:p>
    <w:p>
      <w:hyperlink r:id="rId14">
        <w:r>
          <w:rPr>
            <w:color w:val="176EA4"/>
          </w:rPr>
          <w:t>Guided exercise </w:t>
        </w:r>
      </w:hyperlink>
      <w:r>
        <w:t xml:space="preserve"> </w:t>
      </w:r>
    </w:p>
    <w:p>
      <w:pPr/>
      <w:r>
        <w:rPr>
          <w:b w:val="0"/>
          <w:i w:val="0"/>
        </w:rPr>
        <w:t xml:space="preserve"> · </w:t>
      </w:r>
      <w:hyperlink r:id="rId15">
        <w:r>
          <w:rPr>
            <w:color w:val="176EA4"/>
          </w:rPr>
          <w:t>Cure kinetics</w:t>
        </w:r>
      </w:hyperlink>
      <w:r>
        <w:t xml:space="preserve"> </w:t>
      </w:r>
    </w:p>
    <w:p>
      <w:pPr/>
      <w:r>
        <w:rPr>
          <w:b w:val="0"/>
          <w:i w:val="0"/>
        </w:rPr>
        <w:t xml:space="preserve"> · </w:t>
      </w:r>
      <w:hyperlink r:id="rId16">
        <w:r>
          <w:rPr>
            <w:color w:val="176EA4"/>
          </w:rPr>
          <w:t>Crystallization kinetics</w:t>
        </w:r>
      </w:hyperlink>
      <w:r>
        <w:t xml:space="preserve"> </w:t>
      </w:r>
    </w:p>
    <w:p>
      <w:pPr>
        <w:keepNext/>
      </w:pPr>
      <w:r>
        <w:rPr>
          <w:b/>
          <w:i w:val="0"/>
        </w:rPr>
        <w:t>Thermal transport</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pPr/>
      <w:r>
        <w:rPr>
          <w:b w:val="0"/>
          <w:i w:val="0"/>
        </w:rPr>
        <w:t>One transport formulation per thermal case. Select its laminate and configure its own initial conditions and surface cycle; pultrusion additionally requires a distance-based die schedule and pulling velocity.</w:t>
      </w:r>
    </w:p>
    <w:p>
      <w:hyperlink r:id="rId17">
        <w:r>
          <w:rPr>
            <w:color w:val="176EA4"/>
          </w:rPr>
          <w:t>Theory &amp; limits</w:t>
        </w:r>
      </w:hyperlink>
      <w:r>
        <w:t xml:space="preserve"> </w:t>
      </w:r>
    </w:p>
    <w:p>
      <w:hyperlink r:id="rId18">
        <w:r>
          <w:rPr>
            <w:color w:val="176EA4"/>
          </w:rPr>
          <w:t>Guided exercise </w:t>
        </w:r>
      </w:hyperlink>
      <w:r>
        <w:t xml:space="preserve"> </w:t>
      </w:r>
    </w:p>
    <w:p>
      <w:pPr/>
      <w:r>
        <w:rPr>
          <w:b w:val="0"/>
          <w:i w:val="0"/>
        </w:rPr>
        <w:t xml:space="preserve"> · </w:t>
      </w:r>
      <w:hyperlink r:id="rId19">
        <w:r>
          <w:rPr>
            <w:color w:val="176EA4"/>
          </w:rPr>
          <w:t>Pultrusion exercise</w:t>
        </w:r>
      </w:hyperlink>
      <w:r>
        <w:t xml:space="preserve"> </w:t>
      </w:r>
    </w:p>
    <w:p>
      <w:pPr/>
      <w:r>
        <w:rPr>
          <w:b w:val="0"/>
          <w:i w:val="0"/>
        </w:rPr>
        <w:t xml:space="preserve"> · </w:t>
      </w:r>
      <w:hyperlink r:id="rId20">
        <w:r>
          <w:rPr>
            <w:color w:val="176EA4"/>
          </w:rPr>
          <w:t>UV cure exercise</w:t>
        </w:r>
      </w:hyperlink>
      <w:r>
        <w:t xml:space="preserve"> </w:t>
      </w:r>
    </w:p>
    <w:p>
      <w:pPr>
        <w:keepNext/>
      </w:pPr>
      <w:r>
        <w:rPr>
          <w:b/>
          <w:i w:val="0"/>
        </w:rPr>
        <w:t>Moisture transport</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pStyle w:val="ListBullet"/>
      </w:pPr>
      <w:r>
        <w:rPr>
          <w:b w:val="0"/>
          <w:i w:val="0"/>
        </w:rPr>
        <w:t>1D transient moisture diffusion</w:t>
      </w:r>
    </w:p>
    <w:p>
      <w:pPr>
        <w:pStyle w:val="ListBullet"/>
      </w:pPr>
      <w:r>
        <w:rPr>
          <w:b w:val="0"/>
          <w:i w:val="0"/>
        </w:rPr>
        <w:t>1D steady-state moisture diffusion</w:t>
      </w:r>
    </w:p>
    <w:p>
      <w:pPr/>
      <w:r>
        <w:rPr>
          <w:b w:val="0"/>
          <w:i w:val="0"/>
        </w:rPr>
        <w:t>One formulation per moisture analysis. Thermal and moisture analyses can both be linked in Simulation; each needs its own boundary conditions.</w:t>
      </w:r>
    </w:p>
    <w:p>
      <w:hyperlink r:id="rId21">
        <w:r>
          <w:rPr>
            <w:color w:val="176EA4"/>
          </w:rPr>
          <w:t>Theory &amp; limits</w:t>
        </w:r>
      </w:hyperlink>
      <w:r>
        <w:t xml:space="preserve"> </w:t>
      </w:r>
    </w:p>
    <w:p>
      <w:hyperlink r:id="rId22">
        <w:r>
          <w:rPr>
            <w:color w:val="176EA4"/>
          </w:rPr>
          <w:t>Guided exercise </w:t>
        </w:r>
      </w:hyperlink>
      <w:r>
        <w:t xml:space="preserve"> </w:t>
      </w:r>
    </w:p>
    <w:p>
      <w:pPr>
        <w:keepNext/>
      </w:pPr>
      <w:r>
        <w:rPr>
          <w:b/>
          <w:i w:val="0"/>
        </w:rPr>
        <w:t>Tool-release shape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pStyle w:val="ListBullet"/>
      </w:pPr>
      <w:r>
        <w:rPr>
          <w:b w:val="0"/>
          <w:i w:val="0"/>
        </w:rPr>
        <w:t>Free-release eigenstrain &amp; spring-in</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23">
        <w:r>
          <w:rPr>
            <w:color w:val="176EA4"/>
          </w:rPr>
          <w:t>Theory &amp; limits</w:t>
        </w:r>
      </w:hyperlink>
      <w:r>
        <w:t xml:space="preserve"> </w:t>
      </w:r>
    </w:p>
    <w:p>
      <w:hyperlink r:id="rId24">
        <w:r>
          <w:rPr>
            <w:color w:val="176EA4"/>
          </w:rPr>
          <w:t>Guided exercise </w:t>
        </w:r>
      </w:hyperlink>
      <w:r>
        <w:t xml:space="preserve"> </w:t>
      </w:r>
    </w:p>
    <w:p>
      <w:pPr>
        <w:pStyle w:val="Heading3"/>
      </w:pPr>
      <w:r>
        <w:t>Structural mechanics</w:t>
      </w:r>
    </w:p>
    <w:p>
      <w:pPr/>
      <w:r>
        <w:rPr>
          <w:b w:val="0"/>
          <w:i w:val="0"/>
        </w:rPr>
        <w:t>Size plates, beams, shells, sandwich panels and joints</w:t>
      </w:r>
    </w:p>
    <w:p>
      <w:pPr>
        <w:pStyle w:val="ListBullet"/>
      </w:pPr>
      <w:r>
        <w:rPr>
          <w:b w:val="0"/>
          <w:i w:val="0"/>
        </w:rPr>
        <w:t>Laminate &amp; geometry</w:t>
      </w:r>
    </w:p>
    <w:p>
      <w:pPr>
        <w:pStyle w:val="ListBullet"/>
      </w:pPr>
      <w:r>
        <w:rPr>
          <w:b w:val="0"/>
          <w:i w:val="0"/>
        </w:rPr>
        <w:t>Load response / stability</w:t>
      </w:r>
    </w:p>
    <w:p>
      <w:pPr>
        <w:pStyle w:val="ListBullet"/>
      </w:pPr>
      <w:r>
        <w:rPr>
          <w:b w:val="0"/>
          <w:i w:val="0"/>
        </w:rPr>
        <w:t>Displacements, stresses &amp; modes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17</w:t>
      </w:r>
      <w:r>
        <w:rPr>
          <w:b/>
          <w:i w:val="0"/>
        </w:rPr>
        <w:t xml:space="preserve"> </w:t>
      </w:r>
      <w:r>
        <w:rPr>
          <w:b/>
          <w:i w:val="0"/>
        </w:rPr>
        <w:t xml:space="preserve"> model choices</w:t>
      </w:r>
    </w:p>
    <w:p>
      <w:pPr>
        <w:keepNext/>
      </w:pPr>
      <w:r>
        <w:rPr>
          <w:b/>
          <w:i w:val="0"/>
        </w:rPr>
        <w:t>Plate · CLT &amp; FSDT</w:t>
      </w:r>
      <w:r>
        <w:rPr>
          <w:b/>
          <w:i w:val="0"/>
        </w:rPr>
        <w:t xml:space="preserve"> </w:t>
      </w:r>
      <w:r>
        <w:rPr>
          <w:b/>
          <w:i w:val="0"/>
        </w:rPr>
        <w:t xml:space="preserve"> </w:t>
      </w:r>
      <w:r>
        <w:rPr>
          <w:b/>
          <w:i w:val="0"/>
        </w:rPr>
        <w:t xml:space="preserve">· </w:t>
      </w:r>
      <w:r>
        <w:rPr>
          <w:b/>
          <w:i w:val="0"/>
        </w:rPr>
        <w:t xml:space="preserve"> </w:t>
      </w:r>
      <w:r>
        <w:rPr>
          <w:b/>
          <w:i w:val="0"/>
        </w:rPr>
        <w:t>6</w:t>
      </w:r>
      <w:r>
        <w:rPr>
          <w:b/>
        </w:rPr>
        <w:t xml:space="preserve"> </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pPr/>
      <w:r>
        <w:rPr>
          <w:b w:val="0"/>
          <w:i w:val="0"/>
        </w:rPr>
        <w:t>Choose a formulation and study. Buckling and modal can be requested together; static bending requires FSDT. These are reference-elastic studies, separate from coupled process or progressive failure.</w:t>
      </w:r>
    </w:p>
    <w:p>
      <w:hyperlink r:id="rId25">
        <w:r>
          <w:rPr>
            <w:color w:val="176EA4"/>
          </w:rPr>
          <w:t>Theory &amp; limits</w:t>
        </w:r>
      </w:hyperlink>
      <w:r>
        <w:t xml:space="preserve"> </w:t>
      </w:r>
    </w:p>
    <w:p>
      <w:hyperlink r:id="rId26">
        <w:r>
          <w:rPr>
            <w:color w:val="176EA4"/>
          </w:rPr>
          <w:t>Guided exercise </w:t>
        </w:r>
      </w:hyperlink>
      <w:r>
        <w:t xml:space="preserve"> </w:t>
      </w:r>
    </w:p>
    <w:p>
      <w:pPr>
        <w:keepNext/>
      </w:pPr>
      <w:r>
        <w:rPr>
          <w:b/>
          <w:i w:val="0"/>
        </w:rPr>
        <w:t>Cylinder</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pStyle w:val="ListBullet"/>
      </w:pPr>
      <w:r>
        <w:rPr>
          <w:b w:val="0"/>
          <w:i w:val="0"/>
        </w:rPr>
        <w:t>Linear thin-wall membrane</w:t>
      </w:r>
    </w:p>
    <w:p>
      <w:pPr>
        <w:pStyle w:val="ListBullet"/>
      </w:pPr>
      <w:r>
        <w:rPr>
          <w:b w:val="0"/>
          <w:i w:val="0"/>
        </w:rPr>
        <w:t>Layerwise thick-wall elasticity</w:t>
      </w:r>
    </w:p>
    <w:p>
      <w:pPr/>
      <w:r>
        <w:rPr>
          <w:b w:val="0"/>
          <w:i w:val="0"/>
        </w:rPr>
        <w:t>Choose one cylinder formulation per case record. Geometry and plies remain shared; thick-wall radial results exclude torsion and process strains.</w:t>
      </w:r>
    </w:p>
    <w:p>
      <w:hyperlink r:id="rId27">
        <w:r>
          <w:rPr>
            <w:color w:val="176EA4"/>
          </w:rPr>
          <w:t>Theory &amp; limits</w:t>
        </w:r>
      </w:hyperlink>
      <w:r>
        <w:t xml:space="preserve"> </w:t>
      </w:r>
    </w:p>
    <w:p>
      <w:hyperlink r:id="rId28">
        <w:r>
          <w:rPr>
            <w:color w:val="176EA4"/>
          </w:rPr>
          <w:t>Guided exercise </w:t>
        </w:r>
      </w:hyperlink>
      <w:r>
        <w:t xml:space="preserve"> </w:t>
      </w:r>
    </w:p>
    <w:p>
      <w:pPr/>
      <w:r>
        <w:rPr>
          <w:b w:val="0"/>
          <w:i w:val="0"/>
        </w:rPr>
        <w:t xml:space="preserve"> · </w:t>
      </w:r>
      <w:hyperlink r:id="rId29">
        <w:r>
          <w:rPr>
            <w:color w:val="176EA4"/>
          </w:rPr>
          <w:t>Layerwise thick-wall theory</w:t>
        </w:r>
      </w:hyperlink>
      <w:r>
        <w:t xml:space="preserve"> </w:t>
      </w:r>
    </w:p>
    <w:p>
      <w:pPr>
        <w:keepNext/>
      </w:pPr>
      <w:r>
        <w:rPr>
          <w:b/>
          <w:i w:val="0"/>
        </w:rPr>
        <w:t>Membrane, bending &amp; beam buckling</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pPr/>
      <w:r>
        <w:rPr>
          <w:b w:val="0"/>
          <w:i w:val="0"/>
        </w:rPr>
        <w:t>Geometry and the case determine the membrane or beam-test interpretation. Euler buckling requires a compatible beam section and a separate reference-elastic study; it is not a strength or local-buckling pass.</w:t>
      </w:r>
    </w:p>
    <w:p>
      <w:hyperlink r:id="rId30">
        <w:r>
          <w:rPr>
            <w:color w:val="176EA4"/>
          </w:rPr>
          <w:t>Theory &amp; limits</w:t>
        </w:r>
      </w:hyperlink>
      <w:r>
        <w:t xml:space="preserve"> </w:t>
      </w:r>
    </w:p>
    <w:p>
      <w:hyperlink r:id="rId31">
        <w:r>
          <w:rPr>
            <w:color w:val="176EA4"/>
          </w:rPr>
          <w:t>Guided exercise </w:t>
        </w:r>
      </w:hyperlink>
      <w:r>
        <w:t xml:space="preserve"> </w:t>
      </w:r>
    </w:p>
    <w:p>
      <w:pPr>
        <w:keepNext/>
      </w:pPr>
      <w:r>
        <w:rPr>
          <w:b/>
          <w:i w:val="0"/>
        </w:rPr>
        <w:t>Layerwise sections, joints &amp; delamination</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pPr/>
      <w:r>
        <w:rPr>
          <w:b w:val="0"/>
          <w:i w:val="0"/>
        </w:rPr>
        <w:t>Coupled delamination is available only for the layerwise Plate section and needs calibrated interface and ply properties. Lap-shear uses its separate joint geometry and perfectly bonded elastic formulation.</w:t>
      </w:r>
    </w:p>
    <w:p>
      <w:hyperlink r:id="rId32">
        <w:r>
          <w:rPr>
            <w:color w:val="176EA4"/>
          </w:rPr>
          <w:t>Theory &amp; limits</w:t>
        </w:r>
      </w:hyperlink>
      <w:r>
        <w:t xml:space="preserve"> </w:t>
      </w:r>
    </w:p>
    <w:p>
      <w:hyperlink r:id="rId33">
        <w:r>
          <w:rPr>
            <w:color w:val="176EA4"/>
          </w:rPr>
          <w:t>Guided exercise </w:t>
        </w:r>
      </w:hyperlink>
      <w:r>
        <w:t xml:space="preserve"> </w:t>
      </w:r>
    </w:p>
    <w:p>
      <w:pPr/>
      <w:r>
        <w:rPr>
          <w:b w:val="0"/>
          <w:i w:val="0"/>
        </w:rPr>
        <w:t xml:space="preserve"> · </w:t>
      </w:r>
      <w:hyperlink r:id="rId34">
        <w:r>
          <w:rPr>
            <w:color w:val="176EA4"/>
          </w:rPr>
          <w:t>Cohesive interface theory</w:t>
        </w:r>
      </w:hyperlink>
      <w:r>
        <w:t xml:space="preserve"> </w:t>
      </w:r>
    </w:p>
    <w:p>
      <w:pPr>
        <w:keepNext/>
      </w:pPr>
      <w:r>
        <w:rPr>
          <w:b/>
          <w:i w:val="0"/>
        </w:rPr>
        <w:t>Sandwich bending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pStyle w:val="ListBullet"/>
      </w:pPr>
      <w:r>
        <w:rPr>
          <w:b w:val="0"/>
          <w:i w:val="0"/>
        </w:rPr>
        <w:t>Sandwich three-point bend</w:t>
      </w:r>
    </w:p>
    <w:p>
      <w:pPr/>
      <w:r>
        <w:rPr>
          <w:b w:val="0"/>
          <w:i w:val="0"/>
        </w:rPr>
        <w:t>Dedicated sandwich screening. Check core, faces and nominal bond shear separately; peel, mixed-mode debonding and crack growth are not assessed.</w:t>
      </w:r>
    </w:p>
    <w:p>
      <w:hyperlink r:id="rId32">
        <w:r>
          <w:rPr>
            <w:color w:val="176EA4"/>
          </w:rPr>
          <w:t>Theory &amp; limits</w:t>
        </w:r>
      </w:hyperlink>
      <w:r>
        <w:t xml:space="preserve"> </w:t>
      </w:r>
    </w:p>
    <w:p>
      <w:hyperlink r:id="rId35">
        <w:r>
          <w:rPr>
            <w:color w:val="176EA4"/>
          </w:rPr>
          <w:t>Guided exercise </w:t>
        </w:r>
      </w:hyperlink>
      <w:r>
        <w:t xml:space="preserve"> </w:t>
      </w:r>
    </w:p>
    <w:p>
      <w:pPr>
        <w:keepNext/>
      </w:pPr>
      <w:r>
        <w:rPr>
          <w:b/>
          <w:i w:val="0"/>
        </w:rPr>
        <w:t>Analytical bonded joint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pStyle w:val="ListBullet"/>
      </w:pPr>
      <w:r>
        <w:rPr>
          <w:b w:val="0"/>
          <w:i w:val="0"/>
        </w:rPr>
        <w:t>Volkersen &amp; Goland–Reissner joint</w:t>
      </w:r>
    </w:p>
    <w:p>
      <w:pPr/>
      <w:r>
        <w:rPr>
          <w:b w:val="0"/>
          <w:i w:val="0"/>
        </w:rPr>
        <w:t>Identical equivalent-elastic adherends, long free arms and a thin elastic adhesive. Compare shear-only Volkersen with eccentric single-lap shear and peel. Not a debonding, plasticity or strength calculation.</w:t>
      </w:r>
    </w:p>
    <w:p>
      <w:hyperlink r:id="rId36">
        <w:r>
          <w:rPr>
            <w:color w:val="176EA4"/>
          </w:rPr>
          <w:t>Theory &amp; limits</w:t>
        </w:r>
      </w:hyperlink>
      <w:r>
        <w:t xml:space="preserve"> </w:t>
      </w:r>
    </w:p>
    <w:p>
      <w:hyperlink r:id="rId37">
        <w:r>
          <w:rPr>
            <w:color w:val="176EA4"/>
          </w:rPr>
          <w:t>Guided exercise </w:t>
        </w:r>
      </w:hyperlink>
      <w:r>
        <w:t xml:space="preserve"> </w:t>
      </w:r>
    </w:p>
    <w:p>
      <w:pPr>
        <w:keepNext/>
      </w:pPr>
      <w:r>
        <w:rPr>
          <w:b/>
          <w:i w:val="0"/>
        </w:rPr>
        <w:t>Cylinder buckling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pStyle w:val="ListBullet"/>
      </w:pPr>
      <w:r>
        <w:rPr>
          <w:b w:val="0"/>
          <w:i w:val="0"/>
        </w:rPr>
        <w:t>Donnell cylinder · axial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38">
        <w:r>
          <w:rPr>
            <w:color w:val="176EA4"/>
          </w:rPr>
          <w:t>Theory &amp; limits</w:t>
        </w:r>
      </w:hyperlink>
      <w:r>
        <w:t xml:space="preserve"> </w:t>
      </w:r>
    </w:p>
    <w:p>
      <w:hyperlink r:id="rId39">
        <w:r>
          <w:rPr>
            <w:color w:val="176EA4"/>
          </w:rPr>
          <w:t>Guided exercise </w:t>
        </w:r>
      </w:hyperlink>
      <w:r>
        <w:t xml:space="preserve"> </w:t>
      </w:r>
    </w:p>
    <w:p>
      <w:pPr>
        <w:pStyle w:val="Heading3"/>
      </w:pPr>
      <w:r>
        <w:t>Failure durability variability</w:t>
      </w:r>
    </w:p>
    <w:p>
      <w:pPr/>
      <w:r>
        <w:rPr>
          <w:b w:val="0"/>
          <w:i w:val="0"/>
        </w:rPr>
        <w:t>Assess strength, service life and sensitivity</w:t>
      </w:r>
    </w:p>
    <w:p>
      <w:pPr>
        <w:pStyle w:val="ListBullet"/>
      </w:pPr>
      <w:r>
        <w:rPr>
          <w:b w:val="0"/>
          <w:i w:val="0"/>
        </w:rPr>
        <w:t>Ply response &amp; calibration</w:t>
      </w:r>
    </w:p>
    <w:p>
      <w:pPr>
        <w:pStyle w:val="ListBullet"/>
      </w:pPr>
      <w:r>
        <w:rPr>
          <w:b w:val="0"/>
          <w:i w:val="0"/>
        </w:rPr>
        <w:t>Selected assessment</w:t>
      </w:r>
    </w:p>
    <w:p>
      <w:pPr>
        <w:pStyle w:val="ListBullet"/>
      </w:pPr>
      <w:r>
        <w:rPr>
          <w:b w:val="0"/>
          <w:i w:val="0"/>
        </w:rPr>
        <w:t>Indices, envelopes &amp; life estimates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15</w:t>
      </w:r>
      <w:r>
        <w:rPr>
          <w:b/>
          <w:i w:val="0"/>
        </w:rPr>
        <w:t xml:space="preserve"> </w:t>
      </w:r>
      <w:r>
        <w:rPr>
          <w:b/>
          <w:i w:val="0"/>
        </w:rPr>
        <w:t xml:space="preserve"> model choices</w:t>
      </w:r>
    </w:p>
    <w:p>
      <w:pPr>
        <w:keepNext/>
      </w:pPr>
      <w:r>
        <w:rPr>
          <w:b/>
          <w:i w:val="0"/>
        </w:rPr>
        <w:t>Failure &amp; envelope comparison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pPr/>
      <w:r>
        <w:rPr>
          <w:b w:val="0"/>
          <w:i w:val="0"/>
        </w:rPr>
        <w:t>One primary failure criterion per load. In Response → Failure, compare all eligible theories or a custom selection in the envelope controls. Each theory runs independently; criteria are not blended.</w:t>
      </w:r>
    </w:p>
    <w:p>
      <w:hyperlink r:id="rId40">
        <w:r>
          <w:rPr>
            <w:color w:val="176EA4"/>
          </w:rPr>
          <w:t>Theory &amp; limits</w:t>
        </w:r>
      </w:hyperlink>
      <w:r>
        <w:t xml:space="preserve"> </w:t>
      </w:r>
    </w:p>
    <w:p>
      <w:hyperlink r:id="rId41">
        <w:r>
          <w:rPr>
            <w:color w:val="176EA4"/>
          </w:rPr>
          <w:t>Guided exercise </w:t>
        </w:r>
      </w:hyperlink>
      <w:r>
        <w:t xml:space="preserve"> </w:t>
      </w:r>
    </w:p>
    <w:p>
      <w:pPr/>
      <w:r>
        <w:rPr>
          <w:b w:val="0"/>
          <w:i w:val="0"/>
        </w:rPr>
        <w:t xml:space="preserve"> · </w:t>
      </w:r>
      <w:hyperlink r:id="rId42">
        <w:r>
          <w:rPr>
            <w:color w:val="176EA4"/>
          </w:rPr>
          <w:t>Failure equations</w:t>
        </w:r>
      </w:hyperlink>
      <w:r>
        <w:t xml:space="preserve"> </w:t>
      </w:r>
    </w:p>
    <w:p>
      <w:pPr/>
      <w:r>
        <w:rPr>
          <w:b w:val="0"/>
          <w:i w:val="0"/>
        </w:rPr>
        <w:t xml:space="preserve"> · </w:t>
      </w:r>
      <w:hyperlink r:id="rId43">
        <w:r>
          <w:rPr>
            <w:color w:val="176EA4"/>
          </w:rPr>
          <w:t>Implemented Workbench methods</w:t>
        </w:r>
      </w:hyperlink>
      <w:r>
        <w:t xml:space="preserve"> </w:t>
      </w:r>
    </w:p>
    <w:p>
      <w:pPr>
        <w:keepNext/>
      </w:pPr>
      <w:r>
        <w:rPr>
          <w:b/>
          <w:i w:val="0"/>
        </w:rPr>
        <w:t>Fatigue S–N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pPr/>
      <w:r>
        <w:rPr>
          <w:b w:val="0"/>
          <w:i w:val="0"/>
        </w:rPr>
        <w:t>Select calibrated S–N curves for each material, direction and stress sign in Fatigue. Different sources can use different models. S–N life does not define residual stiffness or strength.</w:t>
      </w:r>
    </w:p>
    <w:p>
      <w:hyperlink r:id="rId44">
        <w:r>
          <w:rPr>
            <w:color w:val="176EA4"/>
          </w:rPr>
          <w:t>Theory &amp; limits</w:t>
        </w:r>
      </w:hyperlink>
      <w:r>
        <w:t xml:space="preserve"> </w:t>
      </w:r>
    </w:p>
    <w:p>
      <w:hyperlink r:id="rId41">
        <w:r>
          <w:rPr>
            <w:color w:val="176EA4"/>
          </w:rPr>
          <w:t>Starter load case · add calibrated fatigue </w:t>
        </w:r>
      </w:hyperlink>
      <w:r>
        <w:t xml:space="preserve"> </w:t>
      </w:r>
    </w:p>
    <w:p>
      <w:pPr>
        <w:keepNext/>
      </w:pPr>
      <w:r>
        <w:rPr>
          <w:b/>
          <w:i w:val="0"/>
        </w:rPr>
        <w:t>Open-hole strength</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pStyle w:val="ListBullet"/>
      </w:pPr>
      <w:r>
        <w:rPr>
          <w:b w:val="0"/>
          <w:i w:val="0"/>
        </w:rPr>
        <w:t>Whitney–Nuismer open-hole tension</w:t>
      </w:r>
    </w:p>
    <w:p>
      <w:pPr/>
      <w:r>
        <w:rPr>
          <w:b w:val="0"/>
          <w:i w:val="0"/>
        </w:rPr>
        <w:t>Infinite-width, specially orthotropic tension screening. Point and average stress distances must be calibrated independently for this laminate. Not compression, bearing or a joint allowable.</w:t>
      </w:r>
    </w:p>
    <w:p>
      <w:hyperlink r:id="rId45">
        <w:r>
          <w:rPr>
            <w:color w:val="176EA4"/>
          </w:rPr>
          <w:t>Theory &amp; limits</w:t>
        </w:r>
      </w:hyperlink>
      <w:r>
        <w:t xml:space="preserve"> </w:t>
      </w:r>
    </w:p>
    <w:p>
      <w:hyperlink r:id="rId46">
        <w:r>
          <w:rPr>
            <w:color w:val="176EA4"/>
          </w:rPr>
          <w:t>Guided exercise </w:t>
        </w:r>
      </w:hyperlink>
      <w:r>
        <w:t xml:space="preserve"> </w:t>
      </w:r>
    </w:p>
    <w:p>
      <w:pPr>
        <w:keepNext/>
      </w:pPr>
      <w:r>
        <w:rPr>
          <w:b/>
          <w:i w:val="0"/>
        </w:rPr>
        <w:t>Creep &amp; stress relaxation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pStyle w:val="ListBullet"/>
      </w:pPr>
      <w:r>
        <w:rPr>
          <w:b w:val="0"/>
          <w:i w:val="0"/>
        </w:rPr>
        <w:t>Generalized Maxwell · axial Prony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hyperlink r:id="rId47">
        <w:r>
          <w:rPr>
            <w:color w:val="176EA4"/>
          </w:rPr>
          <w:t>Theory &amp; limits</w:t>
        </w:r>
      </w:hyperlink>
      <w:r>
        <w:t xml:space="preserve"> </w:t>
      </w:r>
    </w:p>
    <w:p>
      <w:hyperlink r:id="rId48">
        <w:r>
          <w:rPr>
            <w:color w:val="176EA4"/>
          </w:rPr>
          <w:t>Guided exercise </w:t>
        </w:r>
      </w:hyperlink>
      <w:r>
        <w:t xml:space="preserve"> </w:t>
      </w:r>
    </w:p>
    <w:p>
      <w:pPr>
        <w:keepNext/>
      </w:pPr>
      <w:r>
        <w:rPr>
          <w:b/>
          <w:i w:val="0"/>
        </w:rPr>
        <w:t>LaRC04 failure initiation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pStyle w:val="ListBullet"/>
      </w:pPr>
      <w:r>
        <w:rPr>
          <w:b w:val="0"/>
          <w:i w:val="0"/>
        </w:rPr>
        <w:t>LaRC04 · linear shear</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49">
        <w:r>
          <w:rPr>
            <w:color w:val="176EA4"/>
          </w:rPr>
          <w:t>Theory &amp; limits</w:t>
        </w:r>
      </w:hyperlink>
      <w:r>
        <w:t xml:space="preserve"> </w:t>
      </w:r>
    </w:p>
    <w:p>
      <w:hyperlink r:id="rId50">
        <w:r>
          <w:rPr>
            <w:color w:val="176EA4"/>
          </w:rPr>
          <w:t>Guided exercise </w:t>
        </w:r>
      </w:hyperlink>
      <w:r>
        <w:t xml:space="preserve"> </w:t>
      </w:r>
    </w:p>
    <w:p>
      <w:pPr>
        <w:keepNext/>
      </w:pPr>
      <w:r>
        <w:rPr>
          <w:b/>
          <w:i w:val="0"/>
        </w:rPr>
        <w:t>Fatigue residual properties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pStyle w:val="ListBullet"/>
      </w:pPr>
      <w:r>
        <w:rPr>
          <w:b w:val="0"/>
          <w:i w:val="0"/>
        </w:rPr>
        <w:t>Calibrated residual-property fatigue</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hyperlink r:id="rId51">
        <w:r>
          <w:rPr>
            <w:color w:val="176EA4"/>
          </w:rPr>
          <w:t>Theory &amp; limits</w:t>
        </w:r>
      </w:hyperlink>
      <w:r>
        <w:t xml:space="preserve"> </w:t>
      </w:r>
    </w:p>
    <w:p>
      <w:hyperlink r:id="rId52">
        <w:r>
          <w:rPr>
            <w:color w:val="176EA4"/>
          </w:rPr>
          <w:t>Guided exercise </w:t>
        </w:r>
      </w:hyperlink>
      <w:r>
        <w:t xml:space="preserve"> </w:t>
      </w:r>
    </w:p>
    <w:p>
      <w:pPr>
        <w:keepNext/>
      </w:pPr>
      <w:r>
        <w:rPr>
          <w:b/>
          <w:i w:val="0"/>
        </w:rPr>
        <w:t>Uncertainty &amp; sensitivity</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pStyle w:val="ListBullet"/>
      </w:pPr>
      <w:r>
        <w:rPr>
          <w:b w:val="0"/>
          <w:i w:val="0"/>
        </w:rPr>
        <w:t>Seeded laminate uncertainty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53">
        <w:r>
          <w:rPr>
            <w:color w:val="176EA4"/>
          </w:rPr>
          <w:t>Theory &amp; limits</w:t>
        </w:r>
      </w:hyperlink>
      <w:r>
        <w:t xml:space="preserve"> </w:t>
      </w:r>
    </w:p>
    <w:p>
      <w:hyperlink r:id="rId54">
        <w:r>
          <w:rPr>
            <w:color w:val="176EA4"/>
          </w:rPr>
          <w:t>Guided exercise </w:t>
        </w:r>
      </w:hyperlink>
      <w:r>
        <w:t xml:space="preserve"> </w:t>
      </w:r>
    </w:p>
    <w:p>
      <w:pPr>
        <w:pStyle w:val="Heading3"/>
      </w:pPr>
      <w:r>
        <w:t>Virtual test lab</w:t>
      </w:r>
    </w:p>
    <w:p>
      <w:pPr/>
      <w:r>
        <w:rPr>
          <w:b w:val="0"/>
          <w:i w:val="0"/>
        </w:rPr>
        <w:t>Explore specimen behavior and calibration</w:t>
      </w:r>
    </w:p>
    <w:p>
      <w:pPr>
        <w:pStyle w:val="ListBullet"/>
      </w:pPr>
      <w:r>
        <w:rPr>
          <w:b w:val="0"/>
          <w:i w:val="0"/>
        </w:rPr>
        <w:t>Specimen &amp; material inputs</w:t>
      </w:r>
    </w:p>
    <w:p>
      <w:pPr>
        <w:pStyle w:val="ListBullet"/>
      </w:pPr>
      <w:r>
        <w:rPr>
          <w:b w:val="0"/>
          <w:i w:val="0"/>
        </w:rPr>
        <w:t>Virtual test</w:t>
      </w:r>
    </w:p>
    <w:p>
      <w:pPr>
        <w:pStyle w:val="ListBullet"/>
      </w:pPr>
      <w:r>
        <w:rPr>
          <w:b w:val="0"/>
          <w:i w:val="0"/>
        </w:rPr>
        <w:t>Response &amp; comparison</w:t>
      </w:r>
    </w:p>
    <w:p>
      <w:pPr>
        <w:keepNext/>
      </w:pPr>
      <w:r>
        <w:rPr>
          <w:b/>
          <w:i w:val="0"/>
        </w:rPr>
        <w:t xml:space="preserve">Explore </w:t>
      </w:r>
      <w:r>
        <w:rPr>
          <w:b/>
          <w:i w:val="0"/>
        </w:rPr>
        <w:t xml:space="preserve"> </w:t>
      </w:r>
      <w:r>
        <w:rPr>
          <w:b/>
          <w:i w:val="0"/>
        </w:rPr>
        <w:t>10</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10</w:t>
      </w:r>
      <w:r>
        <w:rPr>
          <w:b/>
          <w:i w:val="0"/>
        </w:rPr>
        <w:t xml:space="preserve"> </w:t>
      </w:r>
      <w:r>
        <w:rPr>
          <w:b/>
          <w:i w:val="0"/>
        </w:rPr>
        <w:t xml:space="preserve"> model choices</w:t>
      </w:r>
    </w:p>
    <w:p>
      <w:pPr>
        <w:keepNext/>
      </w:pPr>
      <w:r>
        <w:rPr>
          <w:b/>
          <w:i w:val="0"/>
        </w:rPr>
        <w:t>D6641 · Compression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pStyle w:val="ListBullet"/>
      </w:pPr>
      <w:r>
        <w:rPr>
          <w:b w:val="0"/>
          <w:i w:val="0"/>
        </w:rPr>
        <w:t>Virtual test · compression coupon</w:t>
      </w:r>
    </w:p>
    <w:p>
      <w:pPr/>
      <w:r>
        <w:rPr>
          <w:b w:val="0"/>
          <w:i w:val="0"/>
        </w:rPr>
        <w:t>Uniform small-strain compression using linked laminate Ex and thickness. Measured compressive strength supplies a screening ratio; fixture, tabs, buckling and failure evolution are not simulated.</w:t>
      </w:r>
    </w:p>
    <w:p>
      <w:hyperlink r:id="rId55">
        <w:r>
          <w:rPr>
            <w:color w:val="176EA4"/>
          </w:rPr>
          <w:t>Theory &amp; limits</w:t>
        </w:r>
      </w:hyperlink>
      <w:r>
        <w:t xml:space="preserve"> </w:t>
      </w:r>
    </w:p>
    <w:p>
      <w:hyperlink r:id="rId56">
        <w:r>
          <w:rPr>
            <w:color w:val="176EA4"/>
          </w:rPr>
          <w:t>Guided exercise </w:t>
        </w:r>
      </w:hyperlink>
      <w:r>
        <w:t xml:space="preserve"> </w:t>
      </w:r>
    </w:p>
    <w:p>
      <w:pPr>
        <w:keepNext/>
      </w:pPr>
      <w:r>
        <w:rPr>
          <w:b/>
          <w:i w:val="0"/>
        </w:rPr>
        <w:t>D5379 / D7078 · Shear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pStyle w:val="ListBullet"/>
      </w:pPr>
      <w:r>
        <w:rPr>
          <w:b w:val="0"/>
          <w:i w:val="0"/>
        </w:rPr>
        <w:t>Virtual test · nominal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hyperlink r:id="rId57">
        <w:r>
          <w:rPr>
            <w:color w:val="176EA4"/>
          </w:rPr>
          <w:t>Theory &amp; limits</w:t>
        </w:r>
      </w:hyperlink>
      <w:r>
        <w:t xml:space="preserve"> </w:t>
      </w:r>
    </w:p>
    <w:p>
      <w:hyperlink r:id="rId58">
        <w:r>
          <w:rPr>
            <w:color w:val="176EA4"/>
          </w:rPr>
          <w:t>Guided exercise </w:t>
        </w:r>
      </w:hyperlink>
      <w:r>
        <w:t xml:space="preserve"> </w:t>
      </w:r>
    </w:p>
    <w:p>
      <w:pPr>
        <w:keepNext/>
      </w:pPr>
      <w:r>
        <w:rPr>
          <w:b/>
          <w:i w:val="0"/>
        </w:rPr>
        <w:t>D5528 · DCB opening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pStyle w:val="ListBullet"/>
      </w:pPr>
      <w:r>
        <w:rPr>
          <w:b w:val="0"/>
          <w:i w:val="0"/>
        </w:rPr>
        <w:t>Virtual test · DCB beam compliance</w:t>
      </w:r>
    </w:p>
    <w:p>
      <w:pPr/>
      <w:r>
        <w:rPr>
          <w:b w:val="0"/>
          <w:i w:val="0"/>
        </w:rPr>
        <w:t>Ideal Euler–Bernoulli DCB with equal homogeneous 0° arms, each half the linked laminate thickness. No root rotation, shear, large displacement or cohesive growth. Critical load is an initiation estimate from supplied GIc.</w:t>
      </w:r>
    </w:p>
    <w:p>
      <w:hyperlink r:id="rId59">
        <w:r>
          <w:rPr>
            <w:color w:val="176EA4"/>
          </w:rPr>
          <w:t>Theory &amp; limits</w:t>
        </w:r>
      </w:hyperlink>
      <w:r>
        <w:t xml:space="preserve"> </w:t>
      </w:r>
    </w:p>
    <w:p>
      <w:hyperlink r:id="rId60">
        <w:r>
          <w:rPr>
            <w:color w:val="176EA4"/>
          </w:rPr>
          <w:t>Guided exercise </w:t>
        </w:r>
      </w:hyperlink>
      <w:r>
        <w:t xml:space="preserve"> </w:t>
      </w:r>
    </w:p>
    <w:p>
      <w:pPr>
        <w:keepNext/>
      </w:pPr>
      <w:r>
        <w:rPr>
          <w:b/>
          <w:i w:val="0"/>
        </w:rPr>
        <w:t>D7905 · ENF sliding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pStyle w:val="ListBullet"/>
      </w:pPr>
      <w:r>
        <w:rPr>
          <w:b w:val="0"/>
          <w:i w:val="0"/>
        </w:rPr>
        <w:t>Virtual test · ENF beam compliance</w:t>
      </w:r>
    </w:p>
    <w:p>
      <w:pPr/>
      <w:r>
        <w:rPr>
          <w:b w:val="0"/>
          <w:i w:val="0"/>
        </w:rPr>
        <w:t>Ideal equal-arm, homogeneous 0° ENF beam; support span is twice the half-span. Crack must be shorter than the half-span. No shear/root correction or unstable crack growth. GIIc is supplied, not fitted automatically.</w:t>
      </w:r>
    </w:p>
    <w:p>
      <w:hyperlink r:id="rId61">
        <w:r>
          <w:rPr>
            <w:color w:val="176EA4"/>
          </w:rPr>
          <w:t>Theory &amp; limits</w:t>
        </w:r>
      </w:hyperlink>
      <w:r>
        <w:t xml:space="preserve"> </w:t>
      </w:r>
    </w:p>
    <w:p>
      <w:hyperlink r:id="rId62">
        <w:r>
          <w:rPr>
            <w:color w:val="176EA4"/>
          </w:rPr>
          <w:t>Guided exercise </w:t>
        </w:r>
      </w:hyperlink>
      <w:r>
        <w:t xml:space="preserve"> </w:t>
      </w:r>
    </w:p>
    <w:p>
      <w:pPr>
        <w:keepNext/>
      </w:pPr>
      <w:r>
        <w:rPr>
          <w:b/>
          <w:i w:val="0"/>
        </w:rPr>
        <w:t>D6671 · Mixed-mode fracture envelope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pStyle w:val="ListBullet"/>
      </w:pPr>
      <w:r>
        <w:rPr>
          <w:b w:val="0"/>
          <w:i w:val="0"/>
        </w:rPr>
        <w:t>Virtual test · BK mixed-mode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hyperlink r:id="rId63">
        <w:r>
          <w:rPr>
            <w:color w:val="176EA4"/>
          </w:rPr>
          <w:t>Theory &amp; limits</w:t>
        </w:r>
      </w:hyperlink>
      <w:r>
        <w:t xml:space="preserve"> </w:t>
      </w:r>
    </w:p>
    <w:p>
      <w:hyperlink r:id="rId64">
        <w:r>
          <w:rPr>
            <w:color w:val="176EA4"/>
          </w:rPr>
          <w:t>Guided exercise </w:t>
        </w:r>
      </w:hyperlink>
      <w:r>
        <w:t xml:space="preserve"> </w:t>
      </w:r>
    </w:p>
    <w:p>
      <w:pPr>
        <w:keepNext/>
      </w:pPr>
      <w:r>
        <w:rPr>
          <w:b/>
          <w:i w:val="0"/>
        </w:rPr>
        <w:t>D5229 · Moisture uptake calibration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ListBullet"/>
      </w:pPr>
      <w:r>
        <w:rPr>
          <w:b w:val="0"/>
          <w:i w:val="0"/>
        </w:rPr>
        <w:t>Virtual test · Fickian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65">
        <w:r>
          <w:rPr>
            <w:color w:val="176EA4"/>
          </w:rPr>
          <w:t>Theory &amp; limits</w:t>
        </w:r>
      </w:hyperlink>
      <w:r>
        <w:t xml:space="preserve"> </w:t>
      </w:r>
    </w:p>
    <w:p>
      <w:hyperlink r:id="rId66">
        <w:r>
          <w:rPr>
            <w:color w:val="176EA4"/>
          </w:rPr>
          <w:t>Guided exercise </w:t>
        </w:r>
      </w:hyperlink>
      <w:r>
        <w:t xml:space="preserve"> </w:t>
      </w:r>
    </w:p>
    <w:p>
      <w:pPr>
        <w:keepNext/>
      </w:pPr>
      <w:r>
        <w:rPr>
          <w:b/>
          <w:i w:val="0"/>
        </w:rPr>
        <w:t>D5961 · Bearing / bypass screening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pStyle w:val="ListBullet"/>
      </w:pPr>
      <w:r>
        <w:rPr>
          <w:b w:val="0"/>
          <w:i w:val="0"/>
        </w:rPr>
        <w:t>Virtual test · bearing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hyperlink r:id="rId67">
        <w:r>
          <w:rPr>
            <w:color w:val="176EA4"/>
          </w:rPr>
          <w:t>Theory &amp; limits</w:t>
        </w:r>
      </w:hyperlink>
      <w:r>
        <w:t xml:space="preserve"> </w:t>
      </w:r>
    </w:p>
    <w:p>
      <w:hyperlink r:id="rId68">
        <w:r>
          <w:rPr>
            <w:color w:val="176EA4"/>
          </w:rPr>
          <w:t>Guided exercise </w:t>
        </w:r>
      </w:hyperlink>
      <w:r>
        <w:t xml:space="preserve"> </w:t>
      </w:r>
    </w:p>
    <w:p>
      <w:pPr>
        <w:keepNext/>
      </w:pPr>
      <w:r>
        <w:rPr>
          <w:b/>
          <w:i w:val="0"/>
        </w:rPr>
        <w:t>D6484 · Open-hole compression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pStyle w:val="ListBullet"/>
      </w:pPr>
      <w:r>
        <w:rPr>
          <w:b w:val="0"/>
          <w:i w:val="0"/>
        </w:rPr>
        <w:t>Virtual test · measured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hyperlink r:id="rId69">
        <w:r>
          <w:rPr>
            <w:color w:val="176EA4"/>
          </w:rPr>
          <w:t>Theory &amp; limits</w:t>
        </w:r>
      </w:hyperlink>
      <w:r>
        <w:t xml:space="preserve"> </w:t>
      </w:r>
    </w:p>
    <w:p>
      <w:hyperlink r:id="rId70">
        <w:r>
          <w:rPr>
            <w:color w:val="176EA4"/>
          </w:rPr>
          <w:t>Guided exercise </w:t>
        </w:r>
      </w:hyperlink>
      <w:r>
        <w:t xml:space="preserve"> </w:t>
      </w:r>
    </w:p>
    <w:p>
      <w:pPr>
        <w:keepNext/>
      </w:pPr>
      <w:r>
        <w:rPr>
          <w:b/>
          <w:i w:val="0"/>
        </w:rPr>
        <w:t>D6742 · Filled-hole comparison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pStyle w:val="ListBullet"/>
      </w:pPr>
      <w:r>
        <w:rPr>
          <w:b w:val="0"/>
          <w:i w:val="0"/>
        </w:rPr>
        <w:t>Virtual test · measured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hyperlink r:id="rId71">
        <w:r>
          <w:rPr>
            <w:color w:val="176EA4"/>
          </w:rPr>
          <w:t>Theory &amp; limits</w:t>
        </w:r>
      </w:hyperlink>
      <w:r>
        <w:t xml:space="preserve"> </w:t>
      </w:r>
    </w:p>
    <w:p>
      <w:hyperlink r:id="rId72">
        <w:r>
          <w:rPr>
            <w:color w:val="176EA4"/>
          </w:rPr>
          <w:t>Guided exercise </w:t>
        </w:r>
      </w:hyperlink>
      <w:r>
        <w:t xml:space="preserve"> </w:t>
      </w:r>
    </w:p>
    <w:p>
      <w:pPr>
        <w:keepNext/>
      </w:pPr>
      <w:r>
        <w:rPr>
          <w:b/>
          <w:i w:val="0"/>
        </w:rPr>
        <w:t>D7136 / D7137 · Impact &amp; CAI assessment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ListBullet"/>
      </w:pPr>
      <w:r>
        <w:rPr>
          <w:b w:val="0"/>
          <w:i w:val="0"/>
        </w:rPr>
        <w:t>Virtual test · measured impact and CAI</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73">
        <w:r>
          <w:rPr>
            <w:color w:val="176EA4"/>
          </w:rPr>
          <w:t>Theory &amp; limits</w:t>
        </w:r>
      </w:hyperlink>
      <w:r>
        <w:t xml:space="preserve"> </w:t>
      </w:r>
    </w:p>
    <w:p>
      <w:hyperlink r:id="rId74">
        <w:r>
          <w:rPr>
            <w:color w:val="176EA4"/>
          </w:rPr>
          <w:t>Guided exercise </w:t>
        </w:r>
      </w:hyperlink>
      <w:r>
        <w:t xml:space="preserve"> </w:t>
      </w:r>
    </w:p>
    <w:p>
      <w:pPr>
        <w:pStyle w:val="Heading3"/>
      </w:pPr>
      <w:r>
        <w:t>Electromagnetics RF</w:t>
      </w:r>
    </w:p>
    <w:p>
      <w:pPr/>
      <w:r>
        <w:rPr>
          <w:b w:val="0"/>
          <w:i w:val="0"/>
        </w:rPr>
        <w:t>Design dielectric mixtures, shielding and periodic layers</w:t>
      </w:r>
    </w:p>
    <w:p>
      <w:pPr>
        <w:pStyle w:val="ListBullet"/>
      </w:pPr>
      <w:r>
        <w:rPr>
          <w:b w:val="0"/>
          <w:i w:val="0"/>
        </w:rPr>
        <w:t>Electrical properties &amp; layers</w:t>
      </w:r>
    </w:p>
    <w:p>
      <w:pPr>
        <w:pStyle w:val="ListBullet"/>
      </w:pPr>
      <w:r>
        <w:rPr>
          <w:b w:val="0"/>
          <w:i w:val="0"/>
        </w:rPr>
        <w:t>Effective medium / wave propagation</w:t>
      </w:r>
    </w:p>
    <w:p>
      <w:pPr>
        <w:pStyle w:val="ListBullet"/>
      </w:pPr>
      <w:r>
        <w:rPr>
          <w:b w:val="0"/>
          <w:i w:val="0"/>
        </w:rPr>
        <w:t>Permittivity &amp; RF response</w:t>
      </w:r>
    </w:p>
    <w:p>
      <w:pPr>
        <w:keepNext/>
      </w:pPr>
      <w:r>
        <w:rPr>
          <w:b/>
          <w:i w:val="0"/>
        </w:rPr>
        <w:t xml:space="preserve">Explore </w:t>
      </w:r>
      <w:r>
        <w:rPr>
          <w:b/>
          <w:i w:val="0"/>
        </w:rPr>
        <w:t xml:space="preserve"> </w:t>
      </w:r>
      <w:r>
        <w:rPr>
          <w:b/>
          <w:i w:val="0"/>
        </w:rPr>
        <w:t>13</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13</w:t>
      </w:r>
      <w:r>
        <w:rPr>
          <w:b/>
          <w:i w:val="0"/>
        </w:rPr>
        <w:t xml:space="preserve"> </w:t>
      </w:r>
      <w:r>
        <w:rPr>
          <w:b/>
          <w:i w:val="0"/>
        </w:rPr>
        <w:t xml:space="preserve"> model choices</w:t>
      </w:r>
    </w:p>
    <w:p>
      <w:pPr>
        <w:keepNext/>
      </w:pPr>
      <w:r>
        <w:rPr>
          <w:b/>
          <w:i w:val="0"/>
        </w:rPr>
        <w:t>Wiener series and parallel</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Wiener series and parallel</w:t>
      </w:r>
    </w:p>
    <w:p>
      <w:pPr/>
      <w:r>
        <w:rPr>
          <w:b w:val="0"/>
          <w:i w:val="0"/>
        </w:rPr>
        <w:t>Positive lossless dielectric bounds; complex directional estimates.</w:t>
      </w:r>
    </w:p>
    <w:p>
      <w:hyperlink r:id="rId75">
        <w:r>
          <w:rPr>
            <w:color w:val="176EA4"/>
          </w:rPr>
          <w:t>Theory &amp; limits</w:t>
        </w:r>
      </w:hyperlink>
      <w:r>
        <w:t xml:space="preserve"> </w:t>
      </w:r>
    </w:p>
    <w:p>
      <w:hyperlink r:id="rId76">
        <w:r>
          <w:rPr>
            <w:color w:val="176EA4"/>
          </w:rPr>
          <w:t>Guided exercise </w:t>
        </w:r>
      </w:hyperlink>
      <w:r>
        <w:t xml:space="preserve"> </w:t>
      </w:r>
    </w:p>
    <w:p>
      <w:pPr>
        <w:keepNext/>
      </w:pPr>
      <w:r>
        <w:rPr>
          <w:b/>
          <w:i w:val="0"/>
        </w:rPr>
        <w:t>Looyenga / Landau–Lifshitz–Looyenga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Looyenga / Landau–Lifshitz–Looyenga</w:t>
      </w:r>
    </w:p>
    <w:p>
      <w:pPr/>
      <w:r>
        <w:rPr>
          <w:b w:val="0"/>
          <w:i w:val="0"/>
        </w:rPr>
        <w:t>One cube-root mixing law, not two independent models.</w:t>
      </w:r>
    </w:p>
    <w:p>
      <w:hyperlink r:id="rId77">
        <w:r>
          <w:rPr>
            <w:color w:val="176EA4"/>
          </w:rPr>
          <w:t>Theory &amp; limits</w:t>
        </w:r>
      </w:hyperlink>
      <w:r>
        <w:t xml:space="preserve"> </w:t>
      </w:r>
    </w:p>
    <w:p>
      <w:hyperlink r:id="rId78">
        <w:r>
          <w:rPr>
            <w:color w:val="176EA4"/>
          </w:rPr>
          <w:t>Guided exercise </w:t>
        </w:r>
      </w:hyperlink>
      <w:r>
        <w:t xml:space="preserve"> </w:t>
      </w:r>
    </w:p>
    <w:p>
      <w:pPr>
        <w:keepNext/>
      </w:pPr>
      <w:r>
        <w:rPr>
          <w:b/>
          <w:i w:val="0"/>
        </w:rPr>
        <w:t>Maxwell–Garnett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Maxwell–Garnett</w:t>
      </w:r>
    </w:p>
    <w:p>
      <w:pPr/>
      <w:r>
        <w:rPr>
          <w:b w:val="0"/>
          <w:i w:val="0"/>
        </w:rPr>
        <w:t>Dilute subwavelength spherical inclusions in a host.</w:t>
      </w:r>
    </w:p>
    <w:p>
      <w:hyperlink r:id="rId79">
        <w:r>
          <w:rPr>
            <w:color w:val="176EA4"/>
          </w:rPr>
          <w:t>Theory &amp; limits</w:t>
        </w:r>
      </w:hyperlink>
      <w:r>
        <w:t xml:space="preserve"> </w:t>
      </w:r>
    </w:p>
    <w:p>
      <w:hyperlink r:id="rId80">
        <w:r>
          <w:rPr>
            <w:color w:val="176EA4"/>
          </w:rPr>
          <w:t>Guided exercise </w:t>
        </w:r>
      </w:hyperlink>
      <w:r>
        <w:t xml:space="preserve"> </w:t>
      </w:r>
    </w:p>
    <w:p>
      <w:pPr>
        <w:keepNext/>
      </w:pPr>
      <w:r>
        <w:rPr>
          <w:b/>
          <w:i w:val="0"/>
        </w:rPr>
        <w:t>Normal-incidence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Normal-incidence laminate TMM</w:t>
      </w:r>
    </w:p>
    <w:p>
      <w:pPr/>
      <w:r>
        <w:rPr>
          <w:b w:val="0"/>
          <w:i w:val="0"/>
        </w:rPr>
        <w:t>Coherent isotropic nonmagnetic layers between air half-spaces.</w:t>
      </w:r>
    </w:p>
    <w:p>
      <w:hyperlink r:id="rId81">
        <w:r>
          <w:rPr>
            <w:color w:val="176EA4"/>
          </w:rPr>
          <w:t>Theory &amp; limits</w:t>
        </w:r>
      </w:hyperlink>
      <w:r>
        <w:t xml:space="preserve"> </w:t>
      </w:r>
    </w:p>
    <w:p>
      <w:hyperlink r:id="rId82">
        <w:r>
          <w:rPr>
            <w:color w:val="176EA4"/>
          </w:rPr>
          <w:t>Guided exercise </w:t>
        </w:r>
      </w:hyperlink>
      <w:r>
        <w:t xml:space="preserve"> </w:t>
      </w:r>
    </w:p>
    <w:p>
      <w:pPr>
        <w:keepNext/>
      </w:pPr>
      <w:r>
        <w:rPr>
          <w:b/>
          <w:i w:val="0"/>
        </w:rPr>
        <w:t>Bruggeman symmetric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Bruggeman symmetric EMT</w:t>
      </w:r>
    </w:p>
    <w:p>
      <w:pPr/>
      <w:r>
        <w:rPr>
          <w:b w:val="0"/>
          <w:i w:val="0"/>
        </w:rPr>
        <w:t>Two positive-permittivity phases; no explicit contact network.</w:t>
      </w:r>
    </w:p>
    <w:p>
      <w:hyperlink r:id="rId83">
        <w:r>
          <w:rPr>
            <w:color w:val="176EA4"/>
          </w:rPr>
          <w:t>Theory &amp; limits</w:t>
        </w:r>
      </w:hyperlink>
      <w:r>
        <w:t xml:space="preserve"> </w:t>
      </w:r>
    </w:p>
    <w:p>
      <w:hyperlink r:id="rId84">
        <w:r>
          <w:rPr>
            <w:color w:val="176EA4"/>
          </w:rPr>
          <w:t>Guided exercise </w:t>
        </w:r>
      </w:hyperlink>
      <w:r>
        <w:t xml:space="preserve"> </w:t>
      </w:r>
    </w:p>
    <w:p>
      <w:pPr>
        <w:keepNext/>
      </w:pPr>
      <w:r>
        <w:rPr>
          <w:b/>
          <w:i w:val="0"/>
        </w:rPr>
        <w:t>EM Mori–Tanaka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Mori–Tanaka</w:t>
      </w:r>
    </w:p>
    <w:p>
      <w:pPr/>
      <w:r>
        <w:rPr>
          <w:b w:val="0"/>
          <w:i w:val="0"/>
        </w:rPr>
        <w:t>Scalar principal-axis ellipsoidal field approximation.</w:t>
      </w:r>
    </w:p>
    <w:p>
      <w:hyperlink r:id="rId85">
        <w:r>
          <w:rPr>
            <w:color w:val="176EA4"/>
          </w:rPr>
          <w:t>Theory &amp; limits</w:t>
        </w:r>
      </w:hyperlink>
      <w:r>
        <w:t xml:space="preserve"> </w:t>
      </w:r>
    </w:p>
    <w:p>
      <w:hyperlink r:id="rId86">
        <w:r>
          <w:rPr>
            <w:color w:val="176EA4"/>
          </w:rPr>
          <w:t>Guided exercise </w:t>
        </w:r>
      </w:hyperlink>
      <w:r>
        <w:t xml:space="preserve"> </w:t>
      </w:r>
    </w:p>
    <w:p>
      <w:pPr>
        <w:keepNext/>
      </w:pPr>
      <w:r>
        <w:rPr>
          <w:b/>
          <w:i w:val="0"/>
        </w:rPr>
        <w:t>EM self-consistent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self-consistent</w:t>
      </w:r>
    </w:p>
    <w:p>
      <w:pPr/>
      <w:r>
        <w:rPr>
          <w:b w:val="0"/>
          <w:i w:val="0"/>
        </w:rPr>
        <w:t>Scalar principal-axis self-consistency; spherical case equals Bruggeman.</w:t>
      </w:r>
    </w:p>
    <w:p>
      <w:hyperlink r:id="rId87">
        <w:r>
          <w:rPr>
            <w:color w:val="176EA4"/>
          </w:rPr>
          <w:t>Theory &amp; limits</w:t>
        </w:r>
      </w:hyperlink>
      <w:r>
        <w:t xml:space="preserve"> </w:t>
      </w:r>
    </w:p>
    <w:p>
      <w:hyperlink r:id="rId88">
        <w:r>
          <w:rPr>
            <w:color w:val="176EA4"/>
          </w:rPr>
          <w:t>Guided exercise </w:t>
        </w:r>
      </w:hyperlink>
      <w:r>
        <w:t xml:space="preserve"> </w:t>
      </w:r>
    </w:p>
    <w:p>
      <w:pPr>
        <w:keepNext/>
      </w:pPr>
      <w:r>
        <w:rPr>
          <w:b/>
          <w:i w:val="0"/>
        </w:rPr>
        <w:t>Differential effective medium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Differential effective medium</w:t>
      </w:r>
    </w:p>
    <w:p>
      <w:pPr/>
      <w:r>
        <w:rPr>
          <w:b w:val="0"/>
          <w:i w:val="0"/>
        </w:rPr>
        <w:t>Incremental mixing with time-step refinement check.</w:t>
      </w:r>
    </w:p>
    <w:p>
      <w:hyperlink r:id="rId89">
        <w:r>
          <w:rPr>
            <w:color w:val="176EA4"/>
          </w:rPr>
          <w:t>Theory &amp; limits</w:t>
        </w:r>
      </w:hyperlink>
      <w:r>
        <w:t xml:space="preserve"> </w:t>
      </w:r>
    </w:p>
    <w:p>
      <w:hyperlink r:id="rId90">
        <w:r>
          <w:rPr>
            <w:color w:val="176EA4"/>
          </w:rPr>
          <w:t>Guided exercise </w:t>
        </w:r>
      </w:hyperlink>
      <w:r>
        <w:t xml:space="preserve"> </w:t>
      </w:r>
    </w:p>
    <w:p>
      <w:pPr>
        <w:keepNext/>
      </w:pPr>
      <w:r>
        <w:rPr>
          <w:b/>
          <w:i w:val="0"/>
        </w:rPr>
        <w:t>Coated sphere and interphase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Coated sphere and interphase</w:t>
      </w:r>
    </w:p>
    <w:p>
      <w:pPr/>
      <w:r>
        <w:rPr>
          <w:b w:val="0"/>
          <w:i w:val="0"/>
        </w:rPr>
        <w:t>Concentric subwavelength coated spheres; no dynamic Mie scattering.</w:t>
      </w:r>
    </w:p>
    <w:p>
      <w:hyperlink r:id="rId91">
        <w:r>
          <w:rPr>
            <w:color w:val="176EA4"/>
          </w:rPr>
          <w:t>Theory &amp; limits</w:t>
        </w:r>
      </w:hyperlink>
      <w:r>
        <w:t xml:space="preserve"> </w:t>
      </w:r>
    </w:p>
    <w:p>
      <w:hyperlink r:id="rId92">
        <w:r>
          <w:rPr>
            <w:color w:val="176EA4"/>
          </w:rPr>
          <w:t>Guided exercise </w:t>
        </w:r>
      </w:hyperlink>
      <w:r>
        <w:t xml:space="preserve"> </w:t>
      </w:r>
    </w:p>
    <w:p>
      <w:pPr>
        <w:keepNext/>
      </w:pPr>
      <w:r>
        <w:rPr>
          <w:b/>
          <w:i w:val="0"/>
        </w:rPr>
        <w:t>Generalized multiphase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Generalized multiphase EMT</w:t>
      </w:r>
    </w:p>
    <w:p>
      <w:pPr/>
      <w:r>
        <w:rPr>
          <w:b w:val="0"/>
          <w:i w:val="0"/>
        </w:rPr>
        <w:t>Spherical multiphase Bruggeman with convergence checks.</w:t>
      </w:r>
    </w:p>
    <w:p>
      <w:hyperlink r:id="rId93">
        <w:r>
          <w:rPr>
            <w:color w:val="176EA4"/>
          </w:rPr>
          <w:t>Theory &amp; limits</w:t>
        </w:r>
      </w:hyperlink>
      <w:r>
        <w:t xml:space="preserve"> </w:t>
      </w:r>
    </w:p>
    <w:p>
      <w:hyperlink r:id="rId94">
        <w:r>
          <w:rPr>
            <w:color w:val="176EA4"/>
          </w:rPr>
          <w:t>Guided exercise </w:t>
        </w:r>
      </w:hyperlink>
      <w:r>
        <w:t xml:space="preserve"> </w:t>
      </w:r>
    </w:p>
    <w:p>
      <w:pPr>
        <w:keepNext/>
      </w:pPr>
      <w:r>
        <w:rPr>
          <w:b/>
          <w:i w:val="0"/>
        </w:rPr>
        <w:t>Oblique polarized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Oblique polarized laminate TMM</w:t>
      </w:r>
    </w:p>
    <w:p>
      <w:pPr/>
      <w:r>
        <w:rPr>
          <w:b w:val="0"/>
          <w:i w:val="0"/>
        </w:rPr>
        <w:t>TE or TM waves; scalar isotropic layers, no polarization conversion.</w:t>
      </w:r>
    </w:p>
    <w:p>
      <w:hyperlink r:id="rId95">
        <w:r>
          <w:rPr>
            <w:color w:val="176EA4"/>
          </w:rPr>
          <w:t>Theory &amp; limits</w:t>
        </w:r>
      </w:hyperlink>
      <w:r>
        <w:t xml:space="preserve"> </w:t>
      </w:r>
    </w:p>
    <w:p>
      <w:hyperlink r:id="rId96">
        <w:r>
          <w:rPr>
            <w:color w:val="176EA4"/>
          </w:rPr>
          <w:t>Guided exercise </w:t>
        </w:r>
      </w:hyperlink>
      <w:r>
        <w:t xml:space="preserve"> </w:t>
      </w:r>
    </w:p>
    <w:p>
      <w:pPr>
        <w:keepNext/>
      </w:pPr>
      <w:r>
        <w:rPr>
          <w:b/>
          <w:i w:val="0"/>
        </w:rPr>
        <w:t>1D transmission line matrix</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pStyle w:val="ListBullet"/>
      </w:pPr>
      <w:r>
        <w:rPr>
          <w:b w:val="0"/>
          <w:i w:val="0"/>
        </w:rPr>
        <w:t>EM · 1D transmission line matrix</w:t>
      </w:r>
    </w:p>
    <w:p>
      <w:pPr/>
      <w:r>
        <w:rPr>
          <w:b w:val="0"/>
          <w:i w:val="0"/>
        </w:rPr>
        <w:t>Normal-incidence lossless delay-line mesh with pulse decay, energy and mesh-refinement safeguards. Explicit Run required; not a 3D solver.</w:t>
      </w:r>
    </w:p>
    <w:p>
      <w:hyperlink r:id="rId97">
        <w:r>
          <w:rPr>
            <w:color w:val="176EA4"/>
          </w:rPr>
          <w:t>Theory &amp; limits</w:t>
        </w:r>
      </w:hyperlink>
      <w:r>
        <w:t xml:space="preserve"> </w:t>
      </w:r>
    </w:p>
    <w:p>
      <w:hyperlink r:id="rId98">
        <w:r>
          <w:rPr>
            <w:color w:val="176EA4"/>
          </w:rPr>
          <w:t>Guided exercise </w:t>
        </w:r>
      </w:hyperlink>
      <w:r>
        <w:t xml:space="preserve"> </w:t>
      </w:r>
    </w:p>
    <w:p>
      <w:pPr>
        <w:keepNext/>
      </w:pPr>
      <w:r>
        <w:rPr>
          <w:b/>
          <w:i w:val="0"/>
        </w:rPr>
        <w:t>1D Floquet–Bloch periodic layers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pStyle w:val="ListBullet"/>
      </w:pPr>
      <w:r>
        <w:rPr>
          <w:b w:val="0"/>
          <w:i w:val="0"/>
        </w:rPr>
        <w:t>EM · 1D Floquet–Bloch periodic layers</w:t>
      </w:r>
    </w:p>
    <w:p>
      <w:pPr/>
      <w:r>
        <w:rPr>
          <w:b w:val="0"/>
          <w:i w:val="0"/>
        </w:rPr>
        <w:t>Lossless isotropic A/B unit-cell eigenvalues, folded Bloch phase and stop-band attenuation at normal incidence. Not arbitrary-cell homogenization.</w:t>
      </w:r>
    </w:p>
    <w:p>
      <w:hyperlink r:id="rId99">
        <w:r>
          <w:rPr>
            <w:color w:val="176EA4"/>
          </w:rPr>
          <w:t>Theory &amp; limits</w:t>
        </w:r>
      </w:hyperlink>
      <w:r>
        <w:t xml:space="preserve"> </w:t>
      </w:r>
    </w:p>
    <w:p>
      <w:hyperlink r:id="rId100">
        <w:r>
          <w:rPr>
            <w:color w:val="176EA4"/>
          </w:rPr>
          <w:t>Guided exercise </w:t>
        </w:r>
      </w:hyperlink>
      <w:r>
        <w:t xml:space="preserve"> </w:t>
      </w:r>
    </w:p>
    <w:p>
      <w:pPr/>
      <w:r>
        <w:rPr>
          <w:b w:val="0"/>
          <w:i w:val="0"/>
        </w:rPr>
        <w:t>Outcomes and boundaries</w:t>
      </w:r>
    </w:p>
    <w:p>
      <w:pPr>
        <w:pStyle w:val="ListBullet"/>
      </w:pPr>
      <w:r>
        <w:rPr>
          <w:b w:val="0"/>
          <w:i w:val="0"/>
        </w:rPr>
        <w:t>Results update from the active tree selection</w:t>
      </w:r>
    </w:p>
    <w:p>
      <w:pPr>
        <w:pStyle w:val="ListBullet"/>
      </w:pPr>
      <w:r>
        <w:rPr>
          <w:b w:val="0"/>
          <w:i w:val="0"/>
        </w:rPr>
        <w:t>Charts and tables provide complementary views of the same solution</w:t>
      </w:r>
    </w:p>
    <w:p>
      <w:pPr>
        <w:pStyle w:val="ListBullet"/>
      </w:pPr>
      <w:r>
        <w:rPr>
          <w:b w:val="0"/>
          <w:i w:val="0"/>
        </w:rPr>
        <w:t>Mechanical, thermal, moisture, and total response can be reviewed separately</w:t>
      </w:r>
    </w:p>
    <w:p>
      <w:pPr/>
      <w:r>
        <w:rPr>
          <w:b w:val="0"/>
          <w:i w:val="0"/>
        </w:rPr>
        <w:t>Delivered capability</w:t>
      </w:r>
    </w:p>
    <w:p>
      <w:pPr/>
      <w:r>
        <w:rPr>
          <w:b w:val="0"/>
          <w:i w:val="0"/>
        </w:rPr>
        <w:t>Methods available in CDS</w:t>
      </w:r>
    </w:p>
    <w:p>
      <w:pPr/>
      <w:r>
        <w:rPr>
          <w:b w:val="0"/>
          <w:i w:val="0"/>
        </w:rPr>
        <w:t>Bar charts compare up to three properties; Ashby views compare any two</w:t>
      </w:r>
    </w:p>
    <w:p>
      <w:pPr/>
      <w:r>
        <w:rPr>
          <w:b w:val="0"/>
          <w:i w:val="0"/>
        </w:rPr>
        <w:t>Linear and logarithmic scales are available for property comparison</w:t>
      </w:r>
    </w:p>
    <w:p>
      <w:pPr/>
      <w:r>
        <w:rPr>
          <w:b w:val="0"/>
          <w:i w:val="0"/>
        </w:rPr>
        <w:t>Legend hover highlights its plotted records when practical</w:t>
      </w:r>
    </w:p>
    <w:p>
      <w:pPr/>
      <w:r>
        <w:rPr>
          <w:b w:val="0"/>
          <w:i w:val="0"/>
        </w:rPr>
        <w:t>3D views provide fill, opacity, extrema and autoscale controls</w:t>
      </w:r>
    </w:p>
    <w:p>
      <w:pPr/>
      <w:r>
        <w:rPr>
          <w:b w:val="0"/>
          <w:i w:val="0"/>
        </w:rPr>
        <w:t>Thermal cursors link time-history and through-thickness plots</w:t>
      </w:r>
    </w:p>
    <w:p>
      <w:pPr/>
      <w:r>
        <w:rPr>
          <w:b w:val="0"/>
          <w:i w:val="0"/>
        </w:rPr>
        <w:t>Right-click supported tables to export CSV, XLSX or PPTX validation data</w:t>
      </w:r>
    </w:p>
    <w:p>
      <w:hyperlink r:id="rId112">
        <w:r>
          <w:rPr>
            <w:color w:val="176EA4"/>
          </w:rPr>
          <w:t>Next capability 02.1 Connected engineering data →</w:t>
        </w:r>
      </w:hyperlink>
      <w:r>
        <w:t xml:space="preserve"> </w:t>
      </w:r>
    </w:p>
    <w:p>
      <w:bookmarkStart w:id="3" w:name="chapter_3"/>
      <w:pPr>
        <w:pStyle w:val="Heading1"/>
        <w:pageBreakBefore/>
      </w:pPr>
      <w:r>
        <w:t>3 Connect engineering work through the CDS cloud</w:t>
      </w:r>
      <w:bookmarkEnd w:id="3"/>
    </w:p>
    <w:p>
      <w:pPr>
        <w:pStyle w:val="Caption"/>
      </w:pPr>
      <w:hyperlink r:id="rId103">
        <w:r>
          <w:rPr>
            <w:color w:val="176EA4"/>
          </w:rPr>
          <w:t>Online chapter</w:t>
        </w:r>
      </w:hyperlink>
      <w:r>
        <w:t xml:space="preserve"> </w:t>
      </w:r>
    </w:p>
    <w:p>
      <w:pPr/>
      <w:r>
        <w:rPr>
          <w:b w:val="0"/>
          <w:i w:val="0"/>
        </w:rPr>
        <w:t>Extend the integrated model chain into secure collaboration, managed user access, versioned engineering records, shared examples, license delivery, and reusable cloud-supported workflows.</w:t>
      </w:r>
    </w:p>
    <w:p>
      <w:pPr/>
      <w:r>
        <w:rPr>
          <w:b w:val="0"/>
          <w:i w:val="0"/>
        </w:rPr>
        <w:t>03.6</w:t>
      </w:r>
      <w:r>
        <w:rPr>
          <w:b w:val="0"/>
          <w:i w:val="0"/>
        </w:rPr>
        <w:t xml:space="preserve"> </w:t>
      </w:r>
      <w:r>
        <w:rPr>
          <w:b w:val="0"/>
          <w:i w:val="0"/>
        </w:rPr>
        <w:t xml:space="preserve"> / Workflow focus</w:t>
      </w:r>
    </w:p>
    <w:p>
      <w:pPr/>
      <w:r>
        <w:rPr>
          <w:b w:val="0"/>
          <w:i w:val="0"/>
        </w:rPr>
        <w:t>Connected engineering record</w:t>
      </w:r>
    </w:p>
    <w:p>
      <w:pPr>
        <w:pStyle w:val="Heading2"/>
      </w:pPr>
      <w:r>
        <w:t>Connected user accounts</w:t>
      </w:r>
    </w:p>
    <w:p>
      <w:pPr/>
      <w:r>
        <w:rPr>
          <w:b w:val="0"/>
          <w:i w:val="0"/>
        </w:rPr>
        <w:t>One verified CDS account connects licensing, approved downloads, forum participation, and shared engineering resources without requiring a ChatGPT login.</w:t>
      </w:r>
    </w:p>
    <w:p>
      <w:pPr>
        <w:pStyle w:val="Heading2"/>
      </w:pPr>
      <w:r>
        <w:t>Versioned engineering records</w:t>
      </w:r>
    </w:p>
    <w:p>
      <w:pPr/>
      <w:r>
        <w:rPr>
          <w:b w:val="0"/>
          <w:i w:val="0"/>
        </w:rPr>
        <w:t>Model inputs, assumptions, releases, and outputs can be organized as traceable records so a design decision can be revisited and reproduced.</w:t>
      </w:r>
    </w:p>
    <w:p>
      <w:pPr>
        <w:pStyle w:val="Heading2"/>
      </w:pPr>
      <w:r>
        <w:t>Shared examples and guidance</w:t>
      </w:r>
    </w:p>
    <w:p>
      <w:pPr/>
      <w:r>
        <w:rPr>
          <w:b w:val="0"/>
          <w:i w:val="0"/>
        </w:rPr>
        <w:t>Source-grounded examples, technical references, workflow guidance, and training remain available alongside the models they explain.</w:t>
      </w:r>
    </w:p>
    <w:p>
      <w:pPr>
        <w:pStyle w:val="Heading2"/>
      </w:pPr>
      <w:r>
        <w:t>Account entitlement</w:t>
      </w:r>
    </w:p>
    <w:p>
      <w:pPr/>
      <w:r>
        <w:rPr>
          <w:b w:val="0"/>
          <w:i w:val="0"/>
        </w:rPr>
        <w:t>The cloud account workflow authorizes project roles, module access, Recipe execution, and result retrieval through the same secured user record.</w:t>
      </w:r>
    </w:p>
    <w:p>
      <w:pPr>
        <w:pStyle w:val="Heading2"/>
      </w:pPr>
      <w:r>
        <w:t>Collaboration and forum</w:t>
      </w:r>
    </w:p>
    <w:p>
      <w:pPr/>
      <w:r>
        <w:rPr>
          <w:b w:val="0"/>
          <w:i w:val="0"/>
        </w:rPr>
        <w:t>Engineers can discuss methods, exchange model context, and connect questions to the relevant CDS workflow and theory pages.</w:t>
      </w:r>
    </w:p>
    <w:p>
      <w:pPr>
        <w:pStyle w:val="Heading2"/>
      </w:pPr>
      <w:r>
        <w:t>Share an understandable study</w:t>
      </w:r>
    </w:p>
    <w:p>
      <w:pPr/>
      <w:r>
        <w:rPr>
          <w:b w:val="0"/>
          <w:i w:val="0"/>
        </w:rPr>
        <w:t>Carry material sources, assumptions and results into reports and further analysis so another researcher can follow the engineering reasoning.</w:t>
      </w:r>
    </w:p>
    <w:p>
      <w:pPr/>
      <w:hyperlink r:id="rId113">
        <w:r>
          <w:rPr>
            <w:color w:val="176EA4"/>
          </w:rPr>
          <w:t>Use this workflow in Workbench: interactive Blocks, record selections and connection controls →</w:t>
        </w:r>
      </w:hyperlink>
      <w:r>
        <w:t xml:space="preserve"> </w:t>
      </w:r>
    </w:p>
    <w:p>
      <w:hyperlink r:id="rId114">
        <w:r>
          <w:rPr>
            <w:color w:val="176EA4"/>
          </w:rPr>
          <w:t>Next workflow page 03.1 Materials →</w:t>
        </w:r>
      </w:hyperlink>
      <w:r>
        <w:t xml:space="preserve"> </w:t>
      </w:r>
    </w:p>
    <w:p>
      <w:bookmarkStart w:id="4" w:name="chapter_4"/>
      <w:pPr>
        <w:pStyle w:val="Heading1"/>
        <w:pageBreakBefore/>
      </w:pPr>
      <w:r>
        <w:t>4 Evaluate the complete composite structure</w:t>
      </w:r>
      <w:bookmarkEnd w:id="4"/>
    </w:p>
    <w:p>
      <w:pPr>
        <w:pStyle w:val="Caption"/>
      </w:pPr>
      <w:hyperlink r:id="rId115">
        <w:r>
          <w:rPr>
            <w:color w:val="176EA4"/>
          </w:rPr>
          <w:t>Online chapter</w:t>
        </w:r>
      </w:hyperlink>
      <w:r>
        <w:t xml:space="preserve"> </w:t>
      </w:r>
    </w:p>
    <w:p>
      <w:pPr/>
      <w:r>
        <w:rPr>
          <w:b w:val="0"/>
          <w:i w:val="0"/>
        </w:rPr>
        <w:t>Choose a compatible released plate, cylinder, beam, section, joint or analytical study. Shared laminate inputs do not make every model combination valid.</w:t>
      </w:r>
    </w:p>
    <w:p>
      <w:pPr>
        <w:pStyle w:val="Heading2"/>
      </w:pPr>
      <w:r>
        <w:t>Select cases and inspect your model</w:t>
      </w:r>
    </w:p>
    <w:p>
      <w:pPr>
        <w:keepNext/>
      </w:pPr>
      <w:r>
        <w:rPr>
          <w:b/>
          <w:i w:val="0"/>
        </w:rP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keepNext/>
      </w:pPr>
      <w:r>
        <w:rPr>
          <w:b/>
          <w:i w:val="0"/>
        </w:rP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confirmation of a successful solve.</w:t>
      </w:r>
    </w:p>
    <w:p>
      <w:pPr/>
      <w:r>
        <w:rPr>
          <w:b w:val="0"/>
          <w:i w:val="0"/>
        </w:rPr>
        <w:t>Selecting several cases does not add unsupported physics coupling. EM screening studies do not automatically heat the thermal case.</w:t>
      </w:r>
    </w:p>
    <w:p>
      <w:pPr>
        <w:keepNext/>
      </w:pPr>
      <w:r>
        <w:rPr>
          <w:b/>
          <w:i w:val="0"/>
        </w:rP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hyperlink r:id="rId105">
        <w:r>
          <w:rPr>
            <w:color w:val="176EA4"/>
          </w:rPr>
          <w:t>Complete block workflow guide</w:t>
        </w:r>
      </w:hyperlink>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5" name="Picture 5" descr="CDS workflow or model illustration"/>
            <wp:cNvGraphicFramePr>
              <a:graphicFrameLocks noChangeAspect="1"/>
            </wp:cNvGraphicFramePr>
            <a:graphic>
              <a:graphicData uri="http://schemas.openxmlformats.org/drawingml/2006/picture">
                <pic:pic>
                  <pic:nvPicPr>
                    <pic:cNvPr id="0" name="rsvg-f24009332ae24c1362f2b359ad36a7ce9c736e742dd0a83654e84abeb7e1313b.png"/>
                    <pic:cNvPicPr/>
                  </pic:nvPicPr>
                  <pic:blipFill>
                    <a:blip r:embed="rId110"/>
                    <a:stretch>
                      <a:fillRect/>
                    </a:stretch>
                  </pic:blipFill>
                  <pic:spPr>
                    <a:xfrm>
                      <a:off x="0" y="0"/>
                      <a:ext cx="6217920" cy="1935767"/>
                    </a:xfrm>
                    <a:prstGeom prst="rect"/>
                  </pic:spPr>
                </pic:pic>
              </a:graphicData>
            </a:graphic>
          </wp:inline>
        </w:drawing>
      </w:r>
    </w:p>
    <w:p>
      <w:pPr/>
      <w:r>
        <w:rPr>
          <w:b w:val="0"/>
          <w:i w:val="0"/>
        </w:rPr>
        <w:t>Materials → Micro → Laminate.</w:t>
      </w:r>
    </w:p>
    <w:p>
      <w:pPr/>
      <w:r>
        <w:rPr>
          <w:b w:val="0"/>
          <w:i w:val="0"/>
        </w:rPr>
        <w:t>03.5</w:t>
      </w:r>
      <w:r>
        <w:rPr>
          <w:b w:val="0"/>
          <w:i w:val="0"/>
        </w:rPr>
        <w:t xml:space="preserve"> </w:t>
      </w:r>
      <w:r>
        <w:rPr>
          <w:b w:val="0"/>
          <w:i w:val="0"/>
        </w:rPr>
        <w:t xml:space="preserve"> / Workflow focus</w:t>
      </w:r>
    </w:p>
    <w:p>
      <w:pPr/>
      <w:r>
        <w:rPr>
          <w:b w:val="0"/>
          <w:i w:val="0"/>
        </w:rPr>
        <w:t>Connected engineering record</w:t>
      </w:r>
    </w:p>
    <w:p>
      <w:pPr>
        <w:pStyle w:val="Heading2"/>
      </w:pPr>
      <w:r>
        <w:t>Plate and beam response</w:t>
      </w:r>
    </w:p>
    <w:p>
      <w:pPr/>
      <w:r>
        <w:rPr>
          <w:b w:val="0"/>
          <w:i w:val="0"/>
        </w:rPr>
        <w:t>Use the released CLT/FSDT finite-plate or membrane/beam path with compatible dimensions, loads and supports. Buckling, modal and static bending are distinct study choices.</w:t>
      </w:r>
    </w:p>
    <w:p>
      <w:pPr>
        <w:pStyle w:val="Heading2"/>
      </w:pPr>
      <w:r>
        <w:t>Cylinder formulations</w:t>
      </w:r>
    </w:p>
    <w:p>
      <w:pPr/>
      <w:r>
        <w:rPr>
          <w:b w:val="0"/>
          <w:i w:val="0"/>
        </w:rPr>
        <w:t>Thin-wall membrane and layerwise thick-wall elasticity have different load and process limits. Donnell axial buckling is a separate thin-shell study with an explicit knockdown factor.</w:t>
      </w:r>
    </w:p>
    <w:p>
      <w:pPr>
        <w:pStyle w:val="Heading2"/>
      </w:pPr>
      <w:r>
        <w:t>Sections and joints</w:t>
      </w:r>
    </w:p>
    <w:p>
      <w:pPr/>
      <w:r>
        <w:rPr>
          <w:b w:val="0"/>
          <w:i w:val="0"/>
        </w:rPr>
        <w:t>Layerwise sections, lap joints and sandwich bending have their own geometry and interfaces. The analytical Volkersen / Goland–Reissner study is a separate identical-adherend elastic approximation.</w:t>
      </w:r>
    </w:p>
    <w:p>
      <w:pPr>
        <w:pStyle w:val="Heading2"/>
      </w:pPr>
      <w:r>
        <w:t>Failure and notches</w:t>
      </w:r>
    </w:p>
    <w:p>
      <w:pPr/>
      <w:r>
        <w:rPr>
          <w:b w:val="0"/>
          <w:i w:val="0"/>
        </w:rPr>
        <w:t>The five existing criteria support eligible CLT first-ply / progressive calculations. LaRC04 linear-shear initiation and calibrated open-hole strength are separate studies, not additional progressive choices.</w:t>
      </w:r>
    </w:p>
    <w:p>
      <w:pPr>
        <w:pStyle w:val="Heading2"/>
      </w:pPr>
      <w:r>
        <w:t>Fatigue</w:t>
      </w:r>
    </w:p>
    <w:p>
      <w:pPr/>
      <w:r>
        <w:rPr>
          <w:b w:val="0"/>
          <w:i w:val="0"/>
        </w:rPr>
        <w:t>S–N models predict life from calibrated data. Residual stiffness / strength requires independently fitted retention laws in its separate study; neither automatically changes optimization properties.</w:t>
      </w:r>
    </w:p>
    <w:p>
      <w:pPr>
        <w:pStyle w:val="Heading2"/>
      </w:pPr>
      <w:r>
        <w:t>Creep shape and uncertainty</w:t>
      </w:r>
    </w:p>
    <w:p>
      <w:pPr/>
      <w:r>
        <w:rPr>
          <w:b w:val="0"/>
          <w:i w:val="0"/>
        </w:rPr>
        <w:t>Reference-state studies explore time response, prescribed-eigenstrain free release and bounded ABD sampling. Their scope, inputs and output handoffs are listed below.</w:t>
      </w:r>
    </w:p>
    <w:p>
      <w:pPr>
        <w:pStyle w:val="Heading2"/>
      </w:pPr>
      <w:r>
        <w:t>Keep validation data connected</w:t>
      </w:r>
    </w:p>
    <w:p>
      <w:pPr/>
      <w:r>
        <w:rPr>
          <w:b w:val="0"/>
          <w:i w:val="0"/>
        </w:rPr>
        <w:t>Run the selected Simulation after relevant edits. Review model assumptions, stale-result warnings, convergence and calibration before interpreting the result.</w:t>
      </w:r>
    </w:p>
    <w:p>
      <w:pPr/>
      <w:r>
        <w:rPr>
          <w:b w:val="0"/>
          <w:i w:val="0"/>
        </w:rPr>
        <w:t xml:space="preserve">Workbench availability: </w:t>
      </w:r>
      <w:hyperlink r:id="rId11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3">
        <w:r>
          <w:rPr>
            <w:color w:val="176EA4"/>
          </w:rPr>
          <w:t>Use this workflow in Workbench: interactive Blocks, record selections and connection controls →</w:t>
        </w:r>
      </w:hyperlink>
      <w:r>
        <w:t xml:space="preserve"> </w:t>
      </w:r>
    </w:p>
    <w:p>
      <w:pPr>
        <w:pStyle w:val="Heading2"/>
      </w:pPr>
      <w:r>
        <w:t>Design released model connections</w:t>
      </w:r>
    </w:p>
    <w:p>
      <w:pPr/>
      <w:r>
        <w:rPr>
          <w:b w:val="0"/>
          <w:i w:val="0"/>
        </w:rPr>
        <w:t xml:space="preserve">Expand a family for inputs, outputs, supported formulations, theory and an exercise. </w:t>
      </w:r>
      <w:hyperlink r:id="rId111">
        <w:r>
          <w:rPr>
            <w:color w:val="176EA4"/>
          </w:rPr>
          <w:t>All model families </w:t>
        </w:r>
      </w:hyperlink>
      <w:r>
        <w:t xml:space="preserve"> </w:t>
      </w:r>
    </w:p>
    <w:p>
      <w:pPr>
        <w:pStyle w:val="Heading3"/>
      </w:pPr>
      <w:r>
        <w:t>Heat moisture manufacturing</w:t>
      </w:r>
    </w:p>
    <w:p>
      <w:pPr/>
      <w:r>
        <w:rPr>
          <w:b w:val="0"/>
          <w:i w:val="0"/>
        </w:rPr>
        <w:t>Cure, pultrusion, conditioning and tool release</w:t>
      </w:r>
    </w:p>
    <w:p>
      <w:pPr>
        <w:pStyle w:val="ListBullet"/>
      </w:pPr>
      <w:r>
        <w:rPr>
          <w:b w:val="0"/>
          <w:i w:val="0"/>
        </w:rPr>
        <w:t>Material laws &amp; boundary cycles</w:t>
      </w:r>
    </w:p>
    <w:p>
      <w:pPr>
        <w:pStyle w:val="ListBullet"/>
      </w:pPr>
      <w:r>
        <w:rPr>
          <w:b w:val="0"/>
          <w:i w:val="0"/>
        </w:rPr>
        <w:t>Transport &amp; reaction</w:t>
      </w:r>
    </w:p>
    <w:p>
      <w:pPr>
        <w:pStyle w:val="ListBullet"/>
      </w:pPr>
      <w:r>
        <w:rPr>
          <w:b w:val="0"/>
          <w:i w:val="0"/>
        </w:rPr>
        <w:t>History &amp; compatible process fields</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1</w:t>
      </w:r>
      <w:r>
        <w:rPr>
          <w:b/>
          <w:i w:val="0"/>
        </w:rPr>
        <w:t xml:space="preserve"> </w:t>
      </w:r>
      <w:r>
        <w:rPr>
          <w:b/>
          <w:i w:val="0"/>
        </w:rPr>
        <w:t xml:space="preserve"> model choices</w:t>
      </w:r>
    </w:p>
    <w:p>
      <w:pPr>
        <w:keepNext/>
      </w:pPr>
      <w:r>
        <w:rPr>
          <w:b/>
          <w:i w:val="0"/>
        </w:rPr>
        <w:t>Tool-release shape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pStyle w:val="ListBullet"/>
      </w:pPr>
      <w:r>
        <w:rPr>
          <w:b w:val="0"/>
          <w:i w:val="0"/>
        </w:rPr>
        <w:t>Free-release eigenstrain &amp; spring-in</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23">
        <w:r>
          <w:rPr>
            <w:color w:val="176EA4"/>
          </w:rPr>
          <w:t>Theory &amp; limits</w:t>
        </w:r>
      </w:hyperlink>
      <w:r>
        <w:t xml:space="preserve"> </w:t>
      </w:r>
    </w:p>
    <w:p>
      <w:hyperlink r:id="rId24">
        <w:r>
          <w:rPr>
            <w:color w:val="176EA4"/>
          </w:rPr>
          <w:t>Guided exercise </w:t>
        </w:r>
      </w:hyperlink>
      <w:r>
        <w:t xml:space="preserve"> </w:t>
      </w:r>
    </w:p>
    <w:p>
      <w:pPr>
        <w:pStyle w:val="Heading3"/>
      </w:pPr>
      <w:r>
        <w:t>Structural mechanics</w:t>
      </w:r>
    </w:p>
    <w:p>
      <w:pPr/>
      <w:r>
        <w:rPr>
          <w:b w:val="0"/>
          <w:i w:val="0"/>
        </w:rPr>
        <w:t>Size plates, beams, shells, sandwich panels and joints</w:t>
      </w:r>
    </w:p>
    <w:p>
      <w:pPr>
        <w:pStyle w:val="ListBullet"/>
      </w:pPr>
      <w:r>
        <w:rPr>
          <w:b w:val="0"/>
          <w:i w:val="0"/>
        </w:rPr>
        <w:t>Laminate &amp; geometry</w:t>
      </w:r>
    </w:p>
    <w:p>
      <w:pPr>
        <w:pStyle w:val="ListBullet"/>
      </w:pPr>
      <w:r>
        <w:rPr>
          <w:b w:val="0"/>
          <w:i w:val="0"/>
        </w:rPr>
        <w:t>Load response / stability</w:t>
      </w:r>
    </w:p>
    <w:p>
      <w:pPr>
        <w:pStyle w:val="ListBullet"/>
      </w:pPr>
      <w:r>
        <w:rPr>
          <w:b w:val="0"/>
          <w:i w:val="0"/>
        </w:rPr>
        <w:t>Displacements, stresses &amp; modes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17</w:t>
      </w:r>
      <w:r>
        <w:rPr>
          <w:b/>
          <w:i w:val="0"/>
        </w:rPr>
        <w:t xml:space="preserve"> </w:t>
      </w:r>
      <w:r>
        <w:rPr>
          <w:b/>
          <w:i w:val="0"/>
        </w:rPr>
        <w:t xml:space="preserve"> model choices</w:t>
      </w:r>
    </w:p>
    <w:p>
      <w:pPr>
        <w:keepNext/>
      </w:pPr>
      <w:r>
        <w:rPr>
          <w:b/>
          <w:i w:val="0"/>
        </w:rPr>
        <w:t>Plate · CLT &amp; FSDT</w:t>
      </w:r>
      <w:r>
        <w:rPr>
          <w:b/>
          <w:i w:val="0"/>
        </w:rPr>
        <w:t xml:space="preserve"> </w:t>
      </w:r>
      <w:r>
        <w:rPr>
          <w:b/>
          <w:i w:val="0"/>
        </w:rPr>
        <w:t xml:space="preserve"> </w:t>
      </w:r>
      <w:r>
        <w:rPr>
          <w:b/>
          <w:i w:val="0"/>
        </w:rPr>
        <w:t xml:space="preserve">· </w:t>
      </w:r>
      <w:r>
        <w:rPr>
          <w:b/>
          <w:i w:val="0"/>
        </w:rPr>
        <w:t xml:space="preserve"> </w:t>
      </w:r>
      <w:r>
        <w:rPr>
          <w:b/>
          <w:i w:val="0"/>
        </w:rPr>
        <w:t>6</w:t>
      </w:r>
      <w:r>
        <w:rPr>
          <w:b/>
        </w:rPr>
        <w:t xml:space="preserve"> </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pPr/>
      <w:r>
        <w:rPr>
          <w:b w:val="0"/>
          <w:i w:val="0"/>
        </w:rPr>
        <w:t>Choose a formulation and study. Buckling and modal can be requested together; static bending requires FSDT. These are reference-elastic studies, separate from coupled process or progressive failure.</w:t>
      </w:r>
    </w:p>
    <w:p>
      <w:hyperlink r:id="rId25">
        <w:r>
          <w:rPr>
            <w:color w:val="176EA4"/>
          </w:rPr>
          <w:t>Theory &amp; limits</w:t>
        </w:r>
      </w:hyperlink>
      <w:r>
        <w:t xml:space="preserve"> </w:t>
      </w:r>
    </w:p>
    <w:p>
      <w:hyperlink r:id="rId26">
        <w:r>
          <w:rPr>
            <w:color w:val="176EA4"/>
          </w:rPr>
          <w:t>Guided exercise </w:t>
        </w:r>
      </w:hyperlink>
      <w:r>
        <w:t xml:space="preserve"> </w:t>
      </w:r>
    </w:p>
    <w:p>
      <w:pPr>
        <w:keepNext/>
      </w:pPr>
      <w:r>
        <w:rPr>
          <w:b/>
          <w:i w:val="0"/>
        </w:rPr>
        <w:t>Cylinder</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pStyle w:val="ListBullet"/>
      </w:pPr>
      <w:r>
        <w:rPr>
          <w:b w:val="0"/>
          <w:i w:val="0"/>
        </w:rPr>
        <w:t>Linear thin-wall membrane</w:t>
      </w:r>
    </w:p>
    <w:p>
      <w:pPr>
        <w:pStyle w:val="ListBullet"/>
      </w:pPr>
      <w:r>
        <w:rPr>
          <w:b w:val="0"/>
          <w:i w:val="0"/>
        </w:rPr>
        <w:t>Layerwise thick-wall elasticity</w:t>
      </w:r>
    </w:p>
    <w:p>
      <w:pPr/>
      <w:r>
        <w:rPr>
          <w:b w:val="0"/>
          <w:i w:val="0"/>
        </w:rPr>
        <w:t>Choose one cylinder formulation per case record. Geometry and plies remain shared; thick-wall radial results exclude torsion and process strains.</w:t>
      </w:r>
    </w:p>
    <w:p>
      <w:hyperlink r:id="rId27">
        <w:r>
          <w:rPr>
            <w:color w:val="176EA4"/>
          </w:rPr>
          <w:t>Theory &amp; limits</w:t>
        </w:r>
      </w:hyperlink>
      <w:r>
        <w:t xml:space="preserve"> </w:t>
      </w:r>
    </w:p>
    <w:p>
      <w:hyperlink r:id="rId28">
        <w:r>
          <w:rPr>
            <w:color w:val="176EA4"/>
          </w:rPr>
          <w:t>Guided exercise </w:t>
        </w:r>
      </w:hyperlink>
      <w:r>
        <w:t xml:space="preserve"> </w:t>
      </w:r>
    </w:p>
    <w:p>
      <w:pPr/>
      <w:r>
        <w:rPr>
          <w:b w:val="0"/>
          <w:i w:val="0"/>
        </w:rPr>
        <w:t xml:space="preserve"> · </w:t>
      </w:r>
      <w:hyperlink r:id="rId29">
        <w:r>
          <w:rPr>
            <w:color w:val="176EA4"/>
          </w:rPr>
          <w:t>Layerwise thick-wall theory</w:t>
        </w:r>
      </w:hyperlink>
      <w:r>
        <w:t xml:space="preserve"> </w:t>
      </w:r>
    </w:p>
    <w:p>
      <w:pPr>
        <w:keepNext/>
      </w:pPr>
      <w:r>
        <w:rPr>
          <w:b/>
          <w:i w:val="0"/>
        </w:rPr>
        <w:t>Membrane, bending &amp; beam buckling</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pPr/>
      <w:r>
        <w:rPr>
          <w:b w:val="0"/>
          <w:i w:val="0"/>
        </w:rPr>
        <w:t>Geometry and the case determine the membrane or beam-test interpretation. Euler buckling requires a compatible beam section and a separate reference-elastic study; it is not a strength or local-buckling pass.</w:t>
      </w:r>
    </w:p>
    <w:p>
      <w:hyperlink r:id="rId30">
        <w:r>
          <w:rPr>
            <w:color w:val="176EA4"/>
          </w:rPr>
          <w:t>Theory &amp; limits</w:t>
        </w:r>
      </w:hyperlink>
      <w:r>
        <w:t xml:space="preserve"> </w:t>
      </w:r>
    </w:p>
    <w:p>
      <w:hyperlink r:id="rId31">
        <w:r>
          <w:rPr>
            <w:color w:val="176EA4"/>
          </w:rPr>
          <w:t>Guided exercise </w:t>
        </w:r>
      </w:hyperlink>
      <w:r>
        <w:t xml:space="preserve"> </w:t>
      </w:r>
    </w:p>
    <w:p>
      <w:pPr>
        <w:keepNext/>
      </w:pPr>
      <w:r>
        <w:rPr>
          <w:b/>
          <w:i w:val="0"/>
        </w:rPr>
        <w:t>Layerwise sections, joints &amp; delamination</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pPr/>
      <w:r>
        <w:rPr>
          <w:b w:val="0"/>
          <w:i w:val="0"/>
        </w:rPr>
        <w:t>Coupled delamination is available only for the layerwise Plate section and needs calibrated interface and ply properties. Lap-shear uses its separate joint geometry and perfectly bonded elastic formulation.</w:t>
      </w:r>
    </w:p>
    <w:p>
      <w:hyperlink r:id="rId32">
        <w:r>
          <w:rPr>
            <w:color w:val="176EA4"/>
          </w:rPr>
          <w:t>Theory &amp; limits</w:t>
        </w:r>
      </w:hyperlink>
      <w:r>
        <w:t xml:space="preserve"> </w:t>
      </w:r>
    </w:p>
    <w:p>
      <w:hyperlink r:id="rId33">
        <w:r>
          <w:rPr>
            <w:color w:val="176EA4"/>
          </w:rPr>
          <w:t>Guided exercise </w:t>
        </w:r>
      </w:hyperlink>
      <w:r>
        <w:t xml:space="preserve"> </w:t>
      </w:r>
    </w:p>
    <w:p>
      <w:pPr/>
      <w:r>
        <w:rPr>
          <w:b w:val="0"/>
          <w:i w:val="0"/>
        </w:rPr>
        <w:t xml:space="preserve"> · </w:t>
      </w:r>
      <w:hyperlink r:id="rId34">
        <w:r>
          <w:rPr>
            <w:color w:val="176EA4"/>
          </w:rPr>
          <w:t>Cohesive interface theory</w:t>
        </w:r>
      </w:hyperlink>
      <w:r>
        <w:t xml:space="preserve"> </w:t>
      </w:r>
    </w:p>
    <w:p>
      <w:pPr>
        <w:keepNext/>
      </w:pPr>
      <w:r>
        <w:rPr>
          <w:b/>
          <w:i w:val="0"/>
        </w:rPr>
        <w:t>Sandwich bending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pStyle w:val="ListBullet"/>
      </w:pPr>
      <w:r>
        <w:rPr>
          <w:b w:val="0"/>
          <w:i w:val="0"/>
        </w:rPr>
        <w:t>Sandwich three-point bend</w:t>
      </w:r>
    </w:p>
    <w:p>
      <w:pPr/>
      <w:r>
        <w:rPr>
          <w:b w:val="0"/>
          <w:i w:val="0"/>
        </w:rPr>
        <w:t>Dedicated sandwich screening. Check core, faces and nominal bond shear separately; peel, mixed-mode debonding and crack growth are not assessed.</w:t>
      </w:r>
    </w:p>
    <w:p>
      <w:hyperlink r:id="rId32">
        <w:r>
          <w:rPr>
            <w:color w:val="176EA4"/>
          </w:rPr>
          <w:t>Theory &amp; limits</w:t>
        </w:r>
      </w:hyperlink>
      <w:r>
        <w:t xml:space="preserve"> </w:t>
      </w:r>
    </w:p>
    <w:p>
      <w:hyperlink r:id="rId35">
        <w:r>
          <w:rPr>
            <w:color w:val="176EA4"/>
          </w:rPr>
          <w:t>Guided exercise </w:t>
        </w:r>
      </w:hyperlink>
      <w:r>
        <w:t xml:space="preserve"> </w:t>
      </w:r>
    </w:p>
    <w:p>
      <w:pPr>
        <w:keepNext/>
      </w:pPr>
      <w:r>
        <w:rPr>
          <w:b/>
          <w:i w:val="0"/>
        </w:rPr>
        <w:t>Analytical bonded joint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pStyle w:val="ListBullet"/>
      </w:pPr>
      <w:r>
        <w:rPr>
          <w:b w:val="0"/>
          <w:i w:val="0"/>
        </w:rPr>
        <w:t>Volkersen &amp; Goland–Reissner joint</w:t>
      </w:r>
    </w:p>
    <w:p>
      <w:pPr/>
      <w:r>
        <w:rPr>
          <w:b w:val="0"/>
          <w:i w:val="0"/>
        </w:rPr>
        <w:t>Identical equivalent-elastic adherends, long free arms and a thin elastic adhesive. Compare shear-only Volkersen with eccentric single-lap shear and peel. Not a debonding, plasticity or strength calculation.</w:t>
      </w:r>
    </w:p>
    <w:p>
      <w:hyperlink r:id="rId36">
        <w:r>
          <w:rPr>
            <w:color w:val="176EA4"/>
          </w:rPr>
          <w:t>Theory &amp; limits</w:t>
        </w:r>
      </w:hyperlink>
      <w:r>
        <w:t xml:space="preserve"> </w:t>
      </w:r>
    </w:p>
    <w:p>
      <w:hyperlink r:id="rId37">
        <w:r>
          <w:rPr>
            <w:color w:val="176EA4"/>
          </w:rPr>
          <w:t>Guided exercise </w:t>
        </w:r>
      </w:hyperlink>
      <w:r>
        <w:t xml:space="preserve"> </w:t>
      </w:r>
    </w:p>
    <w:p>
      <w:pPr>
        <w:keepNext/>
      </w:pPr>
      <w:r>
        <w:rPr>
          <w:b/>
          <w:i w:val="0"/>
        </w:rPr>
        <w:t>Cylinder buckling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pStyle w:val="ListBullet"/>
      </w:pPr>
      <w:r>
        <w:rPr>
          <w:b w:val="0"/>
          <w:i w:val="0"/>
        </w:rPr>
        <w:t>Donnell cylinder · axial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38">
        <w:r>
          <w:rPr>
            <w:color w:val="176EA4"/>
          </w:rPr>
          <w:t>Theory &amp; limits</w:t>
        </w:r>
      </w:hyperlink>
      <w:r>
        <w:t xml:space="preserve"> </w:t>
      </w:r>
    </w:p>
    <w:p>
      <w:hyperlink r:id="rId39">
        <w:r>
          <w:rPr>
            <w:color w:val="176EA4"/>
          </w:rPr>
          <w:t>Guided exercise </w:t>
        </w:r>
      </w:hyperlink>
      <w:r>
        <w:t xml:space="preserve"> </w:t>
      </w:r>
    </w:p>
    <w:p>
      <w:pPr>
        <w:pStyle w:val="Heading3"/>
      </w:pPr>
      <w:r>
        <w:t>Failure durability variability</w:t>
      </w:r>
    </w:p>
    <w:p>
      <w:pPr/>
      <w:r>
        <w:rPr>
          <w:b w:val="0"/>
          <w:i w:val="0"/>
        </w:rPr>
        <w:t>Assess strength, service life and sensitivity</w:t>
      </w:r>
    </w:p>
    <w:p>
      <w:pPr>
        <w:pStyle w:val="ListBullet"/>
      </w:pPr>
      <w:r>
        <w:rPr>
          <w:b w:val="0"/>
          <w:i w:val="0"/>
        </w:rPr>
        <w:t>Ply response &amp; calibration</w:t>
      </w:r>
    </w:p>
    <w:p>
      <w:pPr>
        <w:pStyle w:val="ListBullet"/>
      </w:pPr>
      <w:r>
        <w:rPr>
          <w:b w:val="0"/>
          <w:i w:val="0"/>
        </w:rPr>
        <w:t>Selected assessment</w:t>
      </w:r>
    </w:p>
    <w:p>
      <w:pPr>
        <w:pStyle w:val="ListBullet"/>
      </w:pPr>
      <w:r>
        <w:rPr>
          <w:b w:val="0"/>
          <w:i w:val="0"/>
        </w:rPr>
        <w:t>Indices, envelopes &amp; life estimates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15</w:t>
      </w:r>
      <w:r>
        <w:rPr>
          <w:b/>
          <w:i w:val="0"/>
        </w:rPr>
        <w:t xml:space="preserve"> </w:t>
      </w:r>
      <w:r>
        <w:rPr>
          <w:b/>
          <w:i w:val="0"/>
        </w:rPr>
        <w:t xml:space="preserve"> model choices</w:t>
      </w:r>
    </w:p>
    <w:p>
      <w:pPr>
        <w:keepNext/>
      </w:pPr>
      <w:r>
        <w:rPr>
          <w:b/>
          <w:i w:val="0"/>
        </w:rPr>
        <w:t>Failure &amp; envelope comparison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pPr/>
      <w:r>
        <w:rPr>
          <w:b w:val="0"/>
          <w:i w:val="0"/>
        </w:rPr>
        <w:t>One primary failure criterion per load. In Response → Failure, compare all eligible theories or a custom selection in the envelope controls. Each theory runs independently; criteria are not blended.</w:t>
      </w:r>
    </w:p>
    <w:p>
      <w:hyperlink r:id="rId40">
        <w:r>
          <w:rPr>
            <w:color w:val="176EA4"/>
          </w:rPr>
          <w:t>Theory &amp; limits</w:t>
        </w:r>
      </w:hyperlink>
      <w:r>
        <w:t xml:space="preserve"> </w:t>
      </w:r>
    </w:p>
    <w:p>
      <w:hyperlink r:id="rId41">
        <w:r>
          <w:rPr>
            <w:color w:val="176EA4"/>
          </w:rPr>
          <w:t>Guided exercise </w:t>
        </w:r>
      </w:hyperlink>
      <w:r>
        <w:t xml:space="preserve"> </w:t>
      </w:r>
    </w:p>
    <w:p>
      <w:pPr/>
      <w:r>
        <w:rPr>
          <w:b w:val="0"/>
          <w:i w:val="0"/>
        </w:rPr>
        <w:t xml:space="preserve"> · </w:t>
      </w:r>
      <w:hyperlink r:id="rId42">
        <w:r>
          <w:rPr>
            <w:color w:val="176EA4"/>
          </w:rPr>
          <w:t>Failure equations</w:t>
        </w:r>
      </w:hyperlink>
      <w:r>
        <w:t xml:space="preserve"> </w:t>
      </w:r>
    </w:p>
    <w:p>
      <w:pPr/>
      <w:r>
        <w:rPr>
          <w:b w:val="0"/>
          <w:i w:val="0"/>
        </w:rPr>
        <w:t xml:space="preserve"> · </w:t>
      </w:r>
      <w:hyperlink r:id="rId43">
        <w:r>
          <w:rPr>
            <w:color w:val="176EA4"/>
          </w:rPr>
          <w:t>Implemented Workbench methods</w:t>
        </w:r>
      </w:hyperlink>
      <w:r>
        <w:t xml:space="preserve"> </w:t>
      </w:r>
    </w:p>
    <w:p>
      <w:pPr>
        <w:keepNext/>
      </w:pPr>
      <w:r>
        <w:rPr>
          <w:b/>
          <w:i w:val="0"/>
        </w:rPr>
        <w:t>Fatigue S–N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pPr/>
      <w:r>
        <w:rPr>
          <w:b w:val="0"/>
          <w:i w:val="0"/>
        </w:rPr>
        <w:t>Select calibrated S–N curves for each material, direction and stress sign in Fatigue. Different sources can use different models. S–N life does not define residual stiffness or strength.</w:t>
      </w:r>
    </w:p>
    <w:p>
      <w:hyperlink r:id="rId44">
        <w:r>
          <w:rPr>
            <w:color w:val="176EA4"/>
          </w:rPr>
          <w:t>Theory &amp; limits</w:t>
        </w:r>
      </w:hyperlink>
      <w:r>
        <w:t xml:space="preserve"> </w:t>
      </w:r>
    </w:p>
    <w:p>
      <w:hyperlink r:id="rId41">
        <w:r>
          <w:rPr>
            <w:color w:val="176EA4"/>
          </w:rPr>
          <w:t>Starter load case · add calibrated fatigue </w:t>
        </w:r>
      </w:hyperlink>
      <w:r>
        <w:t xml:space="preserve"> </w:t>
      </w:r>
    </w:p>
    <w:p>
      <w:pPr>
        <w:keepNext/>
      </w:pPr>
      <w:r>
        <w:rPr>
          <w:b/>
          <w:i w:val="0"/>
        </w:rPr>
        <w:t>Open-hole strength</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pStyle w:val="ListBullet"/>
      </w:pPr>
      <w:r>
        <w:rPr>
          <w:b w:val="0"/>
          <w:i w:val="0"/>
        </w:rPr>
        <w:t>Whitney–Nuismer open-hole tension</w:t>
      </w:r>
    </w:p>
    <w:p>
      <w:pPr/>
      <w:r>
        <w:rPr>
          <w:b w:val="0"/>
          <w:i w:val="0"/>
        </w:rPr>
        <w:t>Infinite-width, specially orthotropic tension screening. Point and average stress distances must be calibrated independently for this laminate. Not compression, bearing or a joint allowable.</w:t>
      </w:r>
    </w:p>
    <w:p>
      <w:hyperlink r:id="rId45">
        <w:r>
          <w:rPr>
            <w:color w:val="176EA4"/>
          </w:rPr>
          <w:t>Theory &amp; limits</w:t>
        </w:r>
      </w:hyperlink>
      <w:r>
        <w:t xml:space="preserve"> </w:t>
      </w:r>
    </w:p>
    <w:p>
      <w:hyperlink r:id="rId46">
        <w:r>
          <w:rPr>
            <w:color w:val="176EA4"/>
          </w:rPr>
          <w:t>Guided exercise </w:t>
        </w:r>
      </w:hyperlink>
      <w:r>
        <w:t xml:space="preserve"> </w:t>
      </w:r>
    </w:p>
    <w:p>
      <w:pPr>
        <w:keepNext/>
      </w:pPr>
      <w:r>
        <w:rPr>
          <w:b/>
          <w:i w:val="0"/>
        </w:rPr>
        <w:t>Creep &amp; stress relaxation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pStyle w:val="ListBullet"/>
      </w:pPr>
      <w:r>
        <w:rPr>
          <w:b w:val="0"/>
          <w:i w:val="0"/>
        </w:rPr>
        <w:t>Generalized Maxwell · axial Prony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hyperlink r:id="rId47">
        <w:r>
          <w:rPr>
            <w:color w:val="176EA4"/>
          </w:rPr>
          <w:t>Theory &amp; limits</w:t>
        </w:r>
      </w:hyperlink>
      <w:r>
        <w:t xml:space="preserve"> </w:t>
      </w:r>
    </w:p>
    <w:p>
      <w:hyperlink r:id="rId48">
        <w:r>
          <w:rPr>
            <w:color w:val="176EA4"/>
          </w:rPr>
          <w:t>Guided exercise </w:t>
        </w:r>
      </w:hyperlink>
      <w:r>
        <w:t xml:space="preserve"> </w:t>
      </w:r>
    </w:p>
    <w:p>
      <w:pPr>
        <w:keepNext/>
      </w:pPr>
      <w:r>
        <w:rPr>
          <w:b/>
          <w:i w:val="0"/>
        </w:rPr>
        <w:t>LaRC04 failure initiation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pStyle w:val="ListBullet"/>
      </w:pPr>
      <w:r>
        <w:rPr>
          <w:b w:val="0"/>
          <w:i w:val="0"/>
        </w:rPr>
        <w:t>LaRC04 · linear shear</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49">
        <w:r>
          <w:rPr>
            <w:color w:val="176EA4"/>
          </w:rPr>
          <w:t>Theory &amp; limits</w:t>
        </w:r>
      </w:hyperlink>
      <w:r>
        <w:t xml:space="preserve"> </w:t>
      </w:r>
    </w:p>
    <w:p>
      <w:hyperlink r:id="rId50">
        <w:r>
          <w:rPr>
            <w:color w:val="176EA4"/>
          </w:rPr>
          <w:t>Guided exercise </w:t>
        </w:r>
      </w:hyperlink>
      <w:r>
        <w:t xml:space="preserve"> </w:t>
      </w:r>
    </w:p>
    <w:p>
      <w:pPr>
        <w:keepNext/>
      </w:pPr>
      <w:r>
        <w:rPr>
          <w:b/>
          <w:i w:val="0"/>
        </w:rPr>
        <w:t>Fatigue residual properties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pStyle w:val="ListBullet"/>
      </w:pPr>
      <w:r>
        <w:rPr>
          <w:b w:val="0"/>
          <w:i w:val="0"/>
        </w:rPr>
        <w:t>Calibrated residual-property fatigue</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hyperlink r:id="rId51">
        <w:r>
          <w:rPr>
            <w:color w:val="176EA4"/>
          </w:rPr>
          <w:t>Theory &amp; limits</w:t>
        </w:r>
      </w:hyperlink>
      <w:r>
        <w:t xml:space="preserve"> </w:t>
      </w:r>
    </w:p>
    <w:p>
      <w:hyperlink r:id="rId52">
        <w:r>
          <w:rPr>
            <w:color w:val="176EA4"/>
          </w:rPr>
          <w:t>Guided exercise </w:t>
        </w:r>
      </w:hyperlink>
      <w:r>
        <w:t xml:space="preserve"> </w:t>
      </w:r>
    </w:p>
    <w:p>
      <w:pPr>
        <w:keepNext/>
      </w:pPr>
      <w:r>
        <w:rPr>
          <w:b/>
          <w:i w:val="0"/>
        </w:rPr>
        <w:t>Uncertainty &amp; sensitivity</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pStyle w:val="ListBullet"/>
      </w:pPr>
      <w:r>
        <w:rPr>
          <w:b w:val="0"/>
          <w:i w:val="0"/>
        </w:rPr>
        <w:t>Seeded laminate uncertainty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53">
        <w:r>
          <w:rPr>
            <w:color w:val="176EA4"/>
          </w:rPr>
          <w:t>Theory &amp; limits</w:t>
        </w:r>
      </w:hyperlink>
      <w:r>
        <w:t xml:space="preserve"> </w:t>
      </w:r>
    </w:p>
    <w:p>
      <w:hyperlink r:id="rId54">
        <w:r>
          <w:rPr>
            <w:color w:val="176EA4"/>
          </w:rPr>
          <w:t>Guided exercise </w:t>
        </w:r>
      </w:hyperlink>
      <w:r>
        <w:t xml:space="preserve"> </w:t>
      </w:r>
    </w:p>
    <w:p>
      <w:pPr>
        <w:pStyle w:val="Heading3"/>
      </w:pPr>
      <w:r>
        <w:t>Virtual test lab</w:t>
      </w:r>
    </w:p>
    <w:p>
      <w:pPr/>
      <w:r>
        <w:rPr>
          <w:b w:val="0"/>
          <w:i w:val="0"/>
        </w:rPr>
        <w:t>Explore specimen behavior and calibration</w:t>
      </w:r>
    </w:p>
    <w:p>
      <w:pPr>
        <w:pStyle w:val="ListBullet"/>
      </w:pPr>
      <w:r>
        <w:rPr>
          <w:b w:val="0"/>
          <w:i w:val="0"/>
        </w:rPr>
        <w:t>Specimen &amp; material inputs</w:t>
      </w:r>
    </w:p>
    <w:p>
      <w:pPr>
        <w:pStyle w:val="ListBullet"/>
      </w:pPr>
      <w:r>
        <w:rPr>
          <w:b w:val="0"/>
          <w:i w:val="0"/>
        </w:rPr>
        <w:t>Virtual test</w:t>
      </w:r>
    </w:p>
    <w:p>
      <w:pPr>
        <w:pStyle w:val="ListBullet"/>
      </w:pPr>
      <w:r>
        <w:rPr>
          <w:b w:val="0"/>
          <w:i w:val="0"/>
        </w:rPr>
        <w:t>Response &amp; comparison</w:t>
      </w:r>
    </w:p>
    <w:p>
      <w:pPr>
        <w:keepNext/>
      </w:pPr>
      <w:r>
        <w:rPr>
          <w:b/>
          <w:i w:val="0"/>
        </w:rPr>
        <w:t xml:space="preserve">Explore </w:t>
      </w:r>
      <w:r>
        <w:rPr>
          <w:b/>
          <w:i w:val="0"/>
        </w:rPr>
        <w:t xml:space="preserve"> </w:t>
      </w:r>
      <w:r>
        <w:rPr>
          <w:b/>
          <w:i w:val="0"/>
        </w:rPr>
        <w:t>10</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10</w:t>
      </w:r>
      <w:r>
        <w:rPr>
          <w:b/>
          <w:i w:val="0"/>
        </w:rPr>
        <w:t xml:space="preserve"> </w:t>
      </w:r>
      <w:r>
        <w:rPr>
          <w:b/>
          <w:i w:val="0"/>
        </w:rPr>
        <w:t xml:space="preserve"> model choices</w:t>
      </w:r>
    </w:p>
    <w:p>
      <w:pPr>
        <w:keepNext/>
      </w:pPr>
      <w:r>
        <w:rPr>
          <w:b/>
          <w:i w:val="0"/>
        </w:rPr>
        <w:t>D6641 · Compression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pStyle w:val="ListBullet"/>
      </w:pPr>
      <w:r>
        <w:rPr>
          <w:b w:val="0"/>
          <w:i w:val="0"/>
        </w:rPr>
        <w:t>Virtual test · compression coupon</w:t>
      </w:r>
    </w:p>
    <w:p>
      <w:pPr/>
      <w:r>
        <w:rPr>
          <w:b w:val="0"/>
          <w:i w:val="0"/>
        </w:rPr>
        <w:t>Uniform small-strain compression using linked laminate Ex and thickness. Measured compressive strength supplies a screening ratio; fixture, tabs, buckling and failure evolution are not simulated.</w:t>
      </w:r>
    </w:p>
    <w:p>
      <w:hyperlink r:id="rId55">
        <w:r>
          <w:rPr>
            <w:color w:val="176EA4"/>
          </w:rPr>
          <w:t>Theory &amp; limits</w:t>
        </w:r>
      </w:hyperlink>
      <w:r>
        <w:t xml:space="preserve"> </w:t>
      </w:r>
    </w:p>
    <w:p>
      <w:hyperlink r:id="rId56">
        <w:r>
          <w:rPr>
            <w:color w:val="176EA4"/>
          </w:rPr>
          <w:t>Guided exercise </w:t>
        </w:r>
      </w:hyperlink>
      <w:r>
        <w:t xml:space="preserve"> </w:t>
      </w:r>
    </w:p>
    <w:p>
      <w:pPr>
        <w:keepNext/>
      </w:pPr>
      <w:r>
        <w:rPr>
          <w:b/>
          <w:i w:val="0"/>
        </w:rPr>
        <w:t>D5379 / D7078 · Shear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pStyle w:val="ListBullet"/>
      </w:pPr>
      <w:r>
        <w:rPr>
          <w:b w:val="0"/>
          <w:i w:val="0"/>
        </w:rPr>
        <w:t>Virtual test · nominal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hyperlink r:id="rId57">
        <w:r>
          <w:rPr>
            <w:color w:val="176EA4"/>
          </w:rPr>
          <w:t>Theory &amp; limits</w:t>
        </w:r>
      </w:hyperlink>
      <w:r>
        <w:t xml:space="preserve"> </w:t>
      </w:r>
    </w:p>
    <w:p>
      <w:hyperlink r:id="rId58">
        <w:r>
          <w:rPr>
            <w:color w:val="176EA4"/>
          </w:rPr>
          <w:t>Guided exercise </w:t>
        </w:r>
      </w:hyperlink>
      <w:r>
        <w:t xml:space="preserve"> </w:t>
      </w:r>
    </w:p>
    <w:p>
      <w:pPr>
        <w:keepNext/>
      </w:pPr>
      <w:r>
        <w:rPr>
          <w:b/>
          <w:i w:val="0"/>
        </w:rPr>
        <w:t>D5528 · DCB opening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pStyle w:val="ListBullet"/>
      </w:pPr>
      <w:r>
        <w:rPr>
          <w:b w:val="0"/>
          <w:i w:val="0"/>
        </w:rPr>
        <w:t>Virtual test · DCB beam compliance</w:t>
      </w:r>
    </w:p>
    <w:p>
      <w:pPr/>
      <w:r>
        <w:rPr>
          <w:b w:val="0"/>
          <w:i w:val="0"/>
        </w:rPr>
        <w:t>Ideal Euler–Bernoulli DCB with equal homogeneous 0° arms, each half the linked laminate thickness. No root rotation, shear, large displacement or cohesive growth. Critical load is an initiation estimate from supplied GIc.</w:t>
      </w:r>
    </w:p>
    <w:p>
      <w:hyperlink r:id="rId59">
        <w:r>
          <w:rPr>
            <w:color w:val="176EA4"/>
          </w:rPr>
          <w:t>Theory &amp; limits</w:t>
        </w:r>
      </w:hyperlink>
      <w:r>
        <w:t xml:space="preserve"> </w:t>
      </w:r>
    </w:p>
    <w:p>
      <w:hyperlink r:id="rId60">
        <w:r>
          <w:rPr>
            <w:color w:val="176EA4"/>
          </w:rPr>
          <w:t>Guided exercise </w:t>
        </w:r>
      </w:hyperlink>
      <w:r>
        <w:t xml:space="preserve"> </w:t>
      </w:r>
    </w:p>
    <w:p>
      <w:pPr>
        <w:keepNext/>
      </w:pPr>
      <w:r>
        <w:rPr>
          <w:b/>
          <w:i w:val="0"/>
        </w:rPr>
        <w:t>D7905 · ENF sliding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pStyle w:val="ListBullet"/>
      </w:pPr>
      <w:r>
        <w:rPr>
          <w:b w:val="0"/>
          <w:i w:val="0"/>
        </w:rPr>
        <w:t>Virtual test · ENF beam compliance</w:t>
      </w:r>
    </w:p>
    <w:p>
      <w:pPr/>
      <w:r>
        <w:rPr>
          <w:b w:val="0"/>
          <w:i w:val="0"/>
        </w:rPr>
        <w:t>Ideal equal-arm, homogeneous 0° ENF beam; support span is twice the half-span. Crack must be shorter than the half-span. No shear/root correction or unstable crack growth. GIIc is supplied, not fitted automatically.</w:t>
      </w:r>
    </w:p>
    <w:p>
      <w:hyperlink r:id="rId61">
        <w:r>
          <w:rPr>
            <w:color w:val="176EA4"/>
          </w:rPr>
          <w:t>Theory &amp; limits</w:t>
        </w:r>
      </w:hyperlink>
      <w:r>
        <w:t xml:space="preserve"> </w:t>
      </w:r>
    </w:p>
    <w:p>
      <w:hyperlink r:id="rId62">
        <w:r>
          <w:rPr>
            <w:color w:val="176EA4"/>
          </w:rPr>
          <w:t>Guided exercise </w:t>
        </w:r>
      </w:hyperlink>
      <w:r>
        <w:t xml:space="preserve"> </w:t>
      </w:r>
    </w:p>
    <w:p>
      <w:pPr>
        <w:keepNext/>
      </w:pPr>
      <w:r>
        <w:rPr>
          <w:b/>
          <w:i w:val="0"/>
        </w:rPr>
        <w:t>D6671 · Mixed-mode fracture envelope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pStyle w:val="ListBullet"/>
      </w:pPr>
      <w:r>
        <w:rPr>
          <w:b w:val="0"/>
          <w:i w:val="0"/>
        </w:rPr>
        <w:t>Virtual test · BK mixed-mode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hyperlink r:id="rId63">
        <w:r>
          <w:rPr>
            <w:color w:val="176EA4"/>
          </w:rPr>
          <w:t>Theory &amp; limits</w:t>
        </w:r>
      </w:hyperlink>
      <w:r>
        <w:t xml:space="preserve"> </w:t>
      </w:r>
    </w:p>
    <w:p>
      <w:hyperlink r:id="rId64">
        <w:r>
          <w:rPr>
            <w:color w:val="176EA4"/>
          </w:rPr>
          <w:t>Guided exercise </w:t>
        </w:r>
      </w:hyperlink>
      <w:r>
        <w:t xml:space="preserve"> </w:t>
      </w:r>
    </w:p>
    <w:p>
      <w:pPr>
        <w:keepNext/>
      </w:pPr>
      <w:r>
        <w:rPr>
          <w:b/>
          <w:i w:val="0"/>
        </w:rPr>
        <w:t>D5229 · Moisture uptake calibration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ListBullet"/>
      </w:pPr>
      <w:r>
        <w:rPr>
          <w:b w:val="0"/>
          <w:i w:val="0"/>
        </w:rPr>
        <w:t>Virtual test · Fickian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65">
        <w:r>
          <w:rPr>
            <w:color w:val="176EA4"/>
          </w:rPr>
          <w:t>Theory &amp; limits</w:t>
        </w:r>
      </w:hyperlink>
      <w:r>
        <w:t xml:space="preserve"> </w:t>
      </w:r>
    </w:p>
    <w:p>
      <w:hyperlink r:id="rId66">
        <w:r>
          <w:rPr>
            <w:color w:val="176EA4"/>
          </w:rPr>
          <w:t>Guided exercise </w:t>
        </w:r>
      </w:hyperlink>
      <w:r>
        <w:t xml:space="preserve"> </w:t>
      </w:r>
    </w:p>
    <w:p>
      <w:pPr>
        <w:keepNext/>
      </w:pPr>
      <w:r>
        <w:rPr>
          <w:b/>
          <w:i w:val="0"/>
        </w:rPr>
        <w:t>D5961 · Bearing / bypass screening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pStyle w:val="ListBullet"/>
      </w:pPr>
      <w:r>
        <w:rPr>
          <w:b w:val="0"/>
          <w:i w:val="0"/>
        </w:rPr>
        <w:t>Virtual test · bearing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hyperlink r:id="rId67">
        <w:r>
          <w:rPr>
            <w:color w:val="176EA4"/>
          </w:rPr>
          <w:t>Theory &amp; limits</w:t>
        </w:r>
      </w:hyperlink>
      <w:r>
        <w:t xml:space="preserve"> </w:t>
      </w:r>
    </w:p>
    <w:p>
      <w:hyperlink r:id="rId68">
        <w:r>
          <w:rPr>
            <w:color w:val="176EA4"/>
          </w:rPr>
          <w:t>Guided exercise </w:t>
        </w:r>
      </w:hyperlink>
      <w:r>
        <w:t xml:space="preserve"> </w:t>
      </w:r>
    </w:p>
    <w:p>
      <w:pPr>
        <w:keepNext/>
      </w:pPr>
      <w:r>
        <w:rPr>
          <w:b/>
          <w:i w:val="0"/>
        </w:rPr>
        <w:t>D6484 · Open-hole compression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pStyle w:val="ListBullet"/>
      </w:pPr>
      <w:r>
        <w:rPr>
          <w:b w:val="0"/>
          <w:i w:val="0"/>
        </w:rPr>
        <w:t>Virtual test · measured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hyperlink r:id="rId69">
        <w:r>
          <w:rPr>
            <w:color w:val="176EA4"/>
          </w:rPr>
          <w:t>Theory &amp; limits</w:t>
        </w:r>
      </w:hyperlink>
      <w:r>
        <w:t xml:space="preserve"> </w:t>
      </w:r>
    </w:p>
    <w:p>
      <w:hyperlink r:id="rId70">
        <w:r>
          <w:rPr>
            <w:color w:val="176EA4"/>
          </w:rPr>
          <w:t>Guided exercise </w:t>
        </w:r>
      </w:hyperlink>
      <w:r>
        <w:t xml:space="preserve"> </w:t>
      </w:r>
    </w:p>
    <w:p>
      <w:pPr>
        <w:keepNext/>
      </w:pPr>
      <w:r>
        <w:rPr>
          <w:b/>
          <w:i w:val="0"/>
        </w:rPr>
        <w:t>D6742 · Filled-hole comparison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pStyle w:val="ListBullet"/>
      </w:pPr>
      <w:r>
        <w:rPr>
          <w:b w:val="0"/>
          <w:i w:val="0"/>
        </w:rPr>
        <w:t>Virtual test · measured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hyperlink r:id="rId71">
        <w:r>
          <w:rPr>
            <w:color w:val="176EA4"/>
          </w:rPr>
          <w:t>Theory &amp; limits</w:t>
        </w:r>
      </w:hyperlink>
      <w:r>
        <w:t xml:space="preserve"> </w:t>
      </w:r>
    </w:p>
    <w:p>
      <w:hyperlink r:id="rId72">
        <w:r>
          <w:rPr>
            <w:color w:val="176EA4"/>
          </w:rPr>
          <w:t>Guided exercise </w:t>
        </w:r>
      </w:hyperlink>
      <w:r>
        <w:t xml:space="preserve"> </w:t>
      </w:r>
    </w:p>
    <w:p>
      <w:pPr>
        <w:keepNext/>
      </w:pPr>
      <w:r>
        <w:rPr>
          <w:b/>
          <w:i w:val="0"/>
        </w:rPr>
        <w:t>D7136 / D7137 · Impact &amp; CAI assessment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ListBullet"/>
      </w:pPr>
      <w:r>
        <w:rPr>
          <w:b w:val="0"/>
          <w:i w:val="0"/>
        </w:rPr>
        <w:t>Virtual test · measured impact and CAI</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73">
        <w:r>
          <w:rPr>
            <w:color w:val="176EA4"/>
          </w:rPr>
          <w:t>Theory &amp; limits</w:t>
        </w:r>
      </w:hyperlink>
      <w:r>
        <w:t xml:space="preserve"> </w:t>
      </w:r>
    </w:p>
    <w:p>
      <w:hyperlink r:id="rId74">
        <w:r>
          <w:rPr>
            <w:color w:val="176EA4"/>
          </w:rPr>
          <w:t>Guided exercise </w:t>
        </w:r>
      </w:hyperlink>
      <w:r>
        <w:t xml:space="preserve"> </w:t>
      </w:r>
    </w:p>
    <w:p>
      <w:pPr>
        <w:pStyle w:val="Heading3"/>
      </w:pPr>
      <w:r>
        <w:t>Electromagnetics RF</w:t>
      </w:r>
    </w:p>
    <w:p>
      <w:pPr/>
      <w:r>
        <w:rPr>
          <w:b w:val="0"/>
          <w:i w:val="0"/>
        </w:rPr>
        <w:t>Design dielectric mixtures, shielding and periodic layers</w:t>
      </w:r>
    </w:p>
    <w:p>
      <w:pPr>
        <w:pStyle w:val="ListBullet"/>
      </w:pPr>
      <w:r>
        <w:rPr>
          <w:b w:val="0"/>
          <w:i w:val="0"/>
        </w:rPr>
        <w:t>Electrical properties &amp; layers</w:t>
      </w:r>
    </w:p>
    <w:p>
      <w:pPr>
        <w:pStyle w:val="ListBullet"/>
      </w:pPr>
      <w:r>
        <w:rPr>
          <w:b w:val="0"/>
          <w:i w:val="0"/>
        </w:rPr>
        <w:t>Effective medium / wave propagation</w:t>
      </w:r>
    </w:p>
    <w:p>
      <w:pPr>
        <w:pStyle w:val="ListBullet"/>
      </w:pPr>
      <w:r>
        <w:rPr>
          <w:b w:val="0"/>
          <w:i w:val="0"/>
        </w:rPr>
        <w:t>Permittivity &amp; RF response</w:t>
      </w:r>
    </w:p>
    <w:p>
      <w:pPr>
        <w:keepNext/>
      </w:pPr>
      <w:r>
        <w:rPr>
          <w:b/>
          <w:i w:val="0"/>
        </w:rPr>
        <w:t xml:space="preserve">Explore </w:t>
      </w:r>
      <w:r>
        <w:rPr>
          <w:b/>
          <w:i w:val="0"/>
        </w:rPr>
        <w:t xml:space="preserve"> </w:t>
      </w:r>
      <w:r>
        <w:rPr>
          <w:b/>
          <w:i w:val="0"/>
        </w:rPr>
        <w:t>4</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4</w:t>
      </w:r>
      <w:r>
        <w:rPr>
          <w:b/>
          <w:i w:val="0"/>
        </w:rPr>
        <w:t xml:space="preserve"> </w:t>
      </w:r>
      <w:r>
        <w:rPr>
          <w:b/>
          <w:i w:val="0"/>
        </w:rPr>
        <w:t xml:space="preserve"> model choices</w:t>
      </w:r>
    </w:p>
    <w:p>
      <w:pPr>
        <w:keepNext/>
      </w:pPr>
      <w:r>
        <w:rPr>
          <w:b/>
          <w:i w:val="0"/>
        </w:rPr>
        <w:t>Normal-incidence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Normal-incidence laminate TMM</w:t>
      </w:r>
    </w:p>
    <w:p>
      <w:pPr/>
      <w:r>
        <w:rPr>
          <w:b w:val="0"/>
          <w:i w:val="0"/>
        </w:rPr>
        <w:t>Coherent isotropic nonmagnetic layers between air half-spaces.</w:t>
      </w:r>
    </w:p>
    <w:p>
      <w:hyperlink r:id="rId81">
        <w:r>
          <w:rPr>
            <w:color w:val="176EA4"/>
          </w:rPr>
          <w:t>Theory &amp; limits</w:t>
        </w:r>
      </w:hyperlink>
      <w:r>
        <w:t xml:space="preserve"> </w:t>
      </w:r>
    </w:p>
    <w:p>
      <w:hyperlink r:id="rId82">
        <w:r>
          <w:rPr>
            <w:color w:val="176EA4"/>
          </w:rPr>
          <w:t>Guided exercise </w:t>
        </w:r>
      </w:hyperlink>
      <w:r>
        <w:t xml:space="preserve"> </w:t>
      </w:r>
    </w:p>
    <w:p>
      <w:pPr>
        <w:keepNext/>
      </w:pPr>
      <w:r>
        <w:rPr>
          <w:b/>
          <w:i w:val="0"/>
        </w:rPr>
        <w:t>Oblique polarized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Oblique polarized laminate TMM</w:t>
      </w:r>
    </w:p>
    <w:p>
      <w:pPr/>
      <w:r>
        <w:rPr>
          <w:b w:val="0"/>
          <w:i w:val="0"/>
        </w:rPr>
        <w:t>TE or TM waves; scalar isotropic layers, no polarization conversion.</w:t>
      </w:r>
    </w:p>
    <w:p>
      <w:hyperlink r:id="rId95">
        <w:r>
          <w:rPr>
            <w:color w:val="176EA4"/>
          </w:rPr>
          <w:t>Theory &amp; limits</w:t>
        </w:r>
      </w:hyperlink>
      <w:r>
        <w:t xml:space="preserve"> </w:t>
      </w:r>
    </w:p>
    <w:p>
      <w:hyperlink r:id="rId96">
        <w:r>
          <w:rPr>
            <w:color w:val="176EA4"/>
          </w:rPr>
          <w:t>Guided exercise </w:t>
        </w:r>
      </w:hyperlink>
      <w:r>
        <w:t xml:space="preserve"> </w:t>
      </w:r>
    </w:p>
    <w:p>
      <w:pPr>
        <w:keepNext/>
      </w:pPr>
      <w:r>
        <w:rPr>
          <w:b/>
          <w:i w:val="0"/>
        </w:rPr>
        <w:t>1D transmission line matrix</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pStyle w:val="ListBullet"/>
      </w:pPr>
      <w:r>
        <w:rPr>
          <w:b w:val="0"/>
          <w:i w:val="0"/>
        </w:rPr>
        <w:t>EM · 1D transmission line matrix</w:t>
      </w:r>
    </w:p>
    <w:p>
      <w:pPr/>
      <w:r>
        <w:rPr>
          <w:b w:val="0"/>
          <w:i w:val="0"/>
        </w:rPr>
        <w:t>Normal-incidence lossless delay-line mesh with pulse decay, energy and mesh-refinement safeguards. Explicit Run required; not a 3D solver.</w:t>
      </w:r>
    </w:p>
    <w:p>
      <w:hyperlink r:id="rId97">
        <w:r>
          <w:rPr>
            <w:color w:val="176EA4"/>
          </w:rPr>
          <w:t>Theory &amp; limits</w:t>
        </w:r>
      </w:hyperlink>
      <w:r>
        <w:t xml:space="preserve"> </w:t>
      </w:r>
    </w:p>
    <w:p>
      <w:hyperlink r:id="rId98">
        <w:r>
          <w:rPr>
            <w:color w:val="176EA4"/>
          </w:rPr>
          <w:t>Guided exercise </w:t>
        </w:r>
      </w:hyperlink>
      <w:r>
        <w:t xml:space="preserve"> </w:t>
      </w:r>
    </w:p>
    <w:p>
      <w:pPr>
        <w:keepNext/>
      </w:pPr>
      <w:r>
        <w:rPr>
          <w:b/>
          <w:i w:val="0"/>
        </w:rPr>
        <w:t>1D Floquet–Bloch periodic layers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pStyle w:val="ListBullet"/>
      </w:pPr>
      <w:r>
        <w:rPr>
          <w:b w:val="0"/>
          <w:i w:val="0"/>
        </w:rPr>
        <w:t>EM · 1D Floquet–Bloch periodic layers</w:t>
      </w:r>
    </w:p>
    <w:p>
      <w:pPr/>
      <w:r>
        <w:rPr>
          <w:b w:val="0"/>
          <w:i w:val="0"/>
        </w:rPr>
        <w:t>Lossless isotropic A/B unit-cell eigenvalues, folded Bloch phase and stop-band attenuation at normal incidence. Not arbitrary-cell homogenization.</w:t>
      </w:r>
    </w:p>
    <w:p>
      <w:hyperlink r:id="rId99">
        <w:r>
          <w:rPr>
            <w:color w:val="176EA4"/>
          </w:rPr>
          <w:t>Theory &amp; limits</w:t>
        </w:r>
      </w:hyperlink>
      <w:r>
        <w:t xml:space="preserve"> </w:t>
      </w:r>
    </w:p>
    <w:p>
      <w:hyperlink r:id="rId100">
        <w:r>
          <w:rPr>
            <w:color w:val="176EA4"/>
          </w:rPr>
          <w:t>Guided exercise </w:t>
        </w:r>
      </w:hyperlink>
      <w:r>
        <w:t xml:space="preserve"> </w:t>
      </w:r>
    </w:p>
    <w:p>
      <w:hyperlink r:id="rId103">
        <w:r>
          <w:rPr>
            <w:color w:val="176EA4"/>
          </w:rPr>
          <w:t>Next workflow page 03.6 Cloud →</w:t>
        </w:r>
      </w:hyperlink>
      <w:r>
        <w:t xml:space="preserve"> </w:t>
      </w:r>
    </w:p>
    <w:p>
      <w:bookmarkStart w:id="5" w:name="chapter_5"/>
      <w:pPr>
        <w:pStyle w:val="Heading1"/>
        <w:pageBreakBefore/>
      </w:pPr>
      <w:r>
        <w:t>5 Turn ply definitions into laminate decisions</w:t>
      </w:r>
      <w:bookmarkEnd w:id="5"/>
    </w:p>
    <w:p>
      <w:pPr>
        <w:pStyle w:val="Caption"/>
      </w:pPr>
      <w:hyperlink r:id="rId116">
        <w:r>
          <w:rPr>
            <w:color w:val="176EA4"/>
          </w:rPr>
          <w:t>Online chapter</w:t>
        </w:r>
      </w:hyperlink>
      <w:r>
        <w:t xml:space="preserve"> </w:t>
      </w:r>
    </w:p>
    <w:p>
      <w:pPr/>
      <w:r>
        <w:rPr>
          <w:b w:val="0"/>
          <w:i w:val="0"/>
        </w:rPr>
        <w:t>Connect stored or Micro-derived ply properties to a stacking sequence, then choose a compatible structural or separate analytical study.</w:t>
      </w:r>
    </w:p>
    <w:p>
      <w:r>
        <w:t>Inspect a ply stack</w:t>
      </w:r>
    </w:p>
    <w:p>
      <w:pPr/>
      <w:r>
        <w:rPr>
          <w:b w:val="0"/>
          <w:i w:val="0"/>
        </w:rPr>
        <w:t>Angle pair ±θ</w:t>
      </w:r>
      <w:r>
        <w:t xml:space="preserve">: </w:t>
      </w:r>
      <w:r>
        <w:rPr>
          <w:b w:val="0"/>
          <w:i w:val="0"/>
        </w:rPr>
        <w:t>45</w:t>
      </w:r>
      <w:r>
        <w:rPr>
          <w:b w:val="0"/>
          <w:i w:val="0"/>
        </w:rPr>
        <w:t xml:space="preserve"> </w:t>
      </w:r>
      <w:r>
        <w:rPr>
          <w:b w:val="0"/>
          <w:i w:val="0"/>
        </w:rPr>
        <w:t xml:space="preserve"> </w:t>
      </w:r>
      <w:r>
        <w:rPr>
          <w:b w:val="0"/>
          <w:i w:val="0"/>
        </w:rPr>
        <w:t xml:space="preserve"> </w:t>
      </w:r>
      <w:r>
        <w:rPr>
          <w:b w:val="0"/>
          <w:i w:val="0"/>
        </w:rPr>
        <w:t>°</w:t>
      </w:r>
    </w:p>
    <w:p>
      <w:r>
        <w:t>Ply to resize</w:t>
      </w:r>
    </w:p>
    <w:p>
      <w:pPr/>
      <w:r>
        <w:rPr>
          <w:b w:val="0"/>
          <w:i w:val="0"/>
        </w:rPr>
        <w:t>Selected ply thickness</w:t>
      </w:r>
      <w:r>
        <w:t xml:space="preserve">: </w:t>
      </w:r>
      <w:r>
        <w:rPr>
          <w:b w:val="0"/>
          <w:i w:val="0"/>
        </w:rPr>
        <w:t>0.125</w:t>
      </w:r>
      <w:r>
        <w:rPr>
          <w:b w:val="0"/>
          <w:i w:val="0"/>
        </w:rPr>
        <w:t xml:space="preserve"> </w:t>
      </w:r>
      <w:r>
        <w:rPr>
          <w:b w:val="0"/>
          <w:i w:val="0"/>
        </w:rPr>
        <w:t xml:space="preserve"> </w:t>
      </w:r>
      <w:r>
        <w:rPr>
          <w:b w:val="0"/>
          <w:i w:val="0"/>
        </w:rPr>
        <w:t xml:space="preserve"> </w:t>
      </w:r>
      <w:r>
        <w:rPr>
          <w:b w:val="0"/>
          <w:i w:val="0"/>
        </w:rPr>
        <w:t>mm</w:t>
      </w:r>
    </w:p>
    <w:p>
      <w:pPr/>
      <w:r>
        <w:rPr>
          <w:b w:val="0"/>
          <w:i w:val="0"/>
        </w:rPr>
        <w:t xml:space="preserve">8 plies · </w:t>
      </w:r>
      <w:r>
        <w:rPr>
          <w:b w:val="0"/>
          <w:i w:val="0"/>
        </w:rPr>
        <w:t xml:space="preserve"> </w:t>
      </w:r>
      <w:r>
        <w:rPr>
          <w:b w:val="0"/>
          <w:i w:val="0"/>
        </w:rPr>
        <w:t>1.000</w:t>
      </w:r>
      <w:r>
        <w:rPr>
          <w:b w:val="0"/>
          <w:i w:val="0"/>
        </w:rPr>
        <w:t xml:space="preserve"> </w:t>
      </w:r>
      <w:r>
        <w:rPr>
          <w:b w:val="0"/>
          <w:i w:val="0"/>
        </w:rPr>
        <w:t xml:space="preserve"> mm total. Thickness is proportional in the section; line direction indicates angle, not a stress field.</w:t>
      </w:r>
    </w:p>
    <w:p>
      <w:pPr>
        <w:keepNext w:val="0"/>
        <w:jc w:val="center"/>
      </w:pPr>
      <w:r>
        <w:drawing>
          <wp:inline xmlns:a="http://schemas.openxmlformats.org/drawingml/2006/main" xmlns:pic="http://schemas.openxmlformats.org/drawingml/2006/picture">
            <wp:extent cx="6217920" cy="2908382"/>
            <wp:docPr id="6" name="Picture 6" descr="CDS workflow or model illustration"/>
            <wp:cNvGraphicFramePr>
              <a:graphicFrameLocks noChangeAspect="1"/>
            </wp:cNvGraphicFramePr>
            <a:graphic>
              <a:graphicData uri="http://schemas.openxmlformats.org/drawingml/2006/picture">
                <pic:pic>
                  <pic:nvPicPr>
                    <pic:cNvPr id="0" name="rsvg-14443e4c069ff0d3eb54e7c67221e0a5b163760124e136209f9ce86a27d345fc.png"/>
                    <pic:cNvPicPr/>
                  </pic:nvPicPr>
                  <pic:blipFill>
                    <a:blip r:embed="rId117"/>
                    <a:stretch>
                      <a:fillRect/>
                    </a:stretch>
                  </pic:blipFill>
                  <pic:spPr>
                    <a:xfrm>
                      <a:off x="0" y="0"/>
                      <a:ext cx="6217920" cy="2908382"/>
                    </a:xfrm>
                    <a:prstGeom prst="rect"/>
                  </pic:spPr>
                </pic:pic>
              </a:graphicData>
            </a:graphic>
          </wp:inline>
        </w:drawing>
      </w:r>
    </w:p>
    <w:p>
      <w:pPr/>
      <w:r>
        <w:rPr>
          <w:b w:val="0"/>
          <w:i w:val="0"/>
        </w:rPr>
        <w:t>[θ / −θ / 0 / 90 / 90 / 0 / −θ / θ]</w:t>
      </w:r>
    </w:p>
    <w:p>
      <w:pPr/>
      <w:r>
        <w:rPr>
          <w:b w:val="0"/>
          <w:i w:val="0"/>
        </w:rPr>
        <w:t>03.3</w:t>
      </w:r>
      <w:r>
        <w:rPr>
          <w:b w:val="0"/>
          <w:i w:val="0"/>
        </w:rPr>
        <w:t xml:space="preserve"> </w:t>
      </w:r>
      <w:r>
        <w:rPr>
          <w:b w:val="0"/>
          <w:i w:val="0"/>
        </w:rPr>
        <w:t xml:space="preserve"> / Workflow focus</w:t>
      </w:r>
    </w:p>
    <w:p>
      <w:pPr/>
      <w:r>
        <w:rPr>
          <w:b w:val="0"/>
          <w:i w:val="0"/>
        </w:rPr>
        <w:t>Connected engineering record</w:t>
      </w:r>
    </w:p>
    <w:p>
      <w:pPr>
        <w:pStyle w:val="Heading2"/>
      </w:pPr>
      <w:r>
        <w:t>Ply stack</w:t>
      </w:r>
    </w:p>
    <w:p>
      <w:pPr/>
      <w:r>
        <w:rPr>
          <w:b w:val="0"/>
          <w:i w:val="0"/>
        </w:rPr>
        <w:t>Set material references, angles and thicknesses. The stack defines laminate stiffness, mass and reference properties.</w:t>
      </w:r>
    </w:p>
    <w:p>
      <w:pPr>
        <w:pStyle w:val="Heading2"/>
      </w:pPr>
      <w:r>
        <w:t>CLT and FSDT</w:t>
      </w:r>
    </w:p>
    <w:p>
      <w:pPr/>
      <w:r>
        <w:rPr>
          <w:b w:val="0"/>
          <w:i w:val="0"/>
        </w:rPr>
        <w:t>ABD properties support laminate response. Finite-plate studies select CLT or FSDT within their supported boundary and study limits; static plate bending requires FSDT.</w:t>
      </w:r>
    </w:p>
    <w:p>
      <w:pPr>
        <w:pStyle w:val="Heading2"/>
      </w:pPr>
      <w:r>
        <w:t>Failure and interfaces</w:t>
      </w:r>
    </w:p>
    <w:p>
      <w:pPr/>
      <w:r>
        <w:rPr>
          <w:b w:val="0"/>
          <w:i w:val="0"/>
        </w:rPr>
        <w:t>Eligible CLT cases use the released failure criteria. Coupled delamination belongs to the supported layerwise section path with calibrated interfaces, not every plate solver.</w:t>
      </w:r>
    </w:p>
    <w:p>
      <w:pPr>
        <w:pStyle w:val="Heading2"/>
      </w:pPr>
      <w:r>
        <w:t>Separate analytical studies</w:t>
      </w:r>
    </w:p>
    <w:p>
      <w:pPr/>
      <w:r>
        <w:rPr>
          <w:b w:val="0"/>
          <w:i w:val="0"/>
        </w:rPr>
        <w:t>Open-hole strength, linear-shear LaRC04 initiation, axial creep and uncertainty use the linked laminate reference state. They do not automatically inherit process or progressive-damage histories.</w:t>
      </w:r>
    </w:p>
    <w:p>
      <w:pPr>
        <w:pStyle w:val="Heading2"/>
      </w:pPr>
      <w:r>
        <w:t>Design exploration</w:t>
      </w:r>
    </w:p>
    <w:p>
      <w:pPr/>
      <w:r>
        <w:rPr>
          <w:b w:val="0"/>
          <w:i w:val="0"/>
        </w:rPr>
        <w:t>Carpet maps and bounded optimization compare candidates. Apply a candidate and rerun the appropriate analysis; a saved result does not update itself.</w:t>
      </w:r>
    </w:p>
    <w:p>
      <w:pPr/>
      <w:r>
        <w:rPr>
          <w:b w:val="0"/>
          <w:i w:val="0"/>
        </w:rPr>
        <w:t xml:space="preserve">Workbench availability: </w:t>
      </w:r>
      <w:hyperlink r:id="rId11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3">
        <w:r>
          <w:rPr>
            <w:color w:val="176EA4"/>
          </w:rPr>
          <w:t>Use this workflow in Workbench: interactive Blocks, record selections and connection controls →</w:t>
        </w:r>
      </w:hyperlink>
      <w:r>
        <w:t xml:space="preserve"> </w:t>
      </w:r>
    </w:p>
    <w:p>
      <w:pPr>
        <w:pStyle w:val="Heading2"/>
      </w:pPr>
      <w:r>
        <w:t>Laminates released model connections</w:t>
      </w:r>
    </w:p>
    <w:p>
      <w:pPr/>
      <w:r>
        <w:rPr>
          <w:b w:val="0"/>
          <w:i w:val="0"/>
        </w:rPr>
        <w:t xml:space="preserve">Expand a family for inputs, outputs, supported formulations, theory and an exercise. </w:t>
      </w:r>
      <w:hyperlink r:id="rId111">
        <w:r>
          <w:rPr>
            <w:color w:val="176EA4"/>
          </w:rPr>
          <w:t>All model families </w:t>
        </w:r>
      </w:hyperlink>
      <w:r>
        <w:t xml:space="preserve"> </w:t>
      </w:r>
    </w:p>
    <w:p>
      <w:pPr>
        <w:pStyle w:val="Heading3"/>
      </w:pPr>
      <w:r>
        <w:t>Structural mechanics</w:t>
      </w:r>
    </w:p>
    <w:p>
      <w:pPr/>
      <w:r>
        <w:rPr>
          <w:b w:val="0"/>
          <w:i w:val="0"/>
        </w:rPr>
        <w:t>Size plates, beams, shells, sandwich panels and joints</w:t>
      </w:r>
    </w:p>
    <w:p>
      <w:pPr>
        <w:pStyle w:val="ListBullet"/>
      </w:pPr>
      <w:r>
        <w:rPr>
          <w:b w:val="0"/>
          <w:i w:val="0"/>
        </w:rPr>
        <w:t>Laminate &amp; geometry</w:t>
      </w:r>
    </w:p>
    <w:p>
      <w:pPr>
        <w:pStyle w:val="ListBullet"/>
      </w:pPr>
      <w:r>
        <w:rPr>
          <w:b w:val="0"/>
          <w:i w:val="0"/>
        </w:rPr>
        <w:t>Load response / stability</w:t>
      </w:r>
    </w:p>
    <w:p>
      <w:pPr>
        <w:pStyle w:val="ListBullet"/>
      </w:pPr>
      <w:r>
        <w:rPr>
          <w:b w:val="0"/>
          <w:i w:val="0"/>
        </w:rPr>
        <w:t>Displacements, stresses &amp; modes</w:t>
      </w:r>
    </w:p>
    <w:p>
      <w:pPr>
        <w:keepNext/>
      </w:pPr>
      <w:r>
        <w:rPr>
          <w:b/>
          <w:i w:val="0"/>
        </w:rPr>
        <w:t xml:space="preserve">Explore </w:t>
      </w:r>
      <w:r>
        <w:rPr>
          <w:b/>
          <w:i w:val="0"/>
        </w:rPr>
        <w:t xml:space="preserve"> </w:t>
      </w:r>
      <w:r>
        <w:rPr>
          <w:b/>
          <w:i w:val="0"/>
        </w:rPr>
        <w:t>2</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Plate · CLT &amp; FSDT</w:t>
      </w:r>
      <w:r>
        <w:rPr>
          <w:b/>
          <w:i w:val="0"/>
        </w:rPr>
        <w:t xml:space="preserve"> </w:t>
      </w:r>
      <w:r>
        <w:rPr>
          <w:b/>
          <w:i w:val="0"/>
        </w:rPr>
        <w:t xml:space="preserve"> </w:t>
      </w:r>
      <w:r>
        <w:rPr>
          <w:b/>
          <w:i w:val="0"/>
        </w:rPr>
        <w:t xml:space="preserve">· </w:t>
      </w:r>
      <w:r>
        <w:rPr>
          <w:b/>
          <w:i w:val="0"/>
        </w:rPr>
        <w:t xml:space="preserve"> </w:t>
      </w:r>
      <w:r>
        <w:rPr>
          <w:b/>
          <w:i w:val="0"/>
        </w:rPr>
        <w:t>6</w:t>
      </w:r>
      <w:r>
        <w:rPr>
          <w:b/>
        </w:rPr>
        <w:t xml:space="preserve"> </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pPr/>
      <w:r>
        <w:rPr>
          <w:b w:val="0"/>
          <w:i w:val="0"/>
        </w:rPr>
        <w:t>Choose a formulation and study. Buckling and modal can be requested together; static bending requires FSDT. These are reference-elastic studies, separate from coupled process or progressive failure.</w:t>
      </w:r>
    </w:p>
    <w:p>
      <w:hyperlink r:id="rId25">
        <w:r>
          <w:rPr>
            <w:color w:val="176EA4"/>
          </w:rPr>
          <w:t>Theory &amp; limits</w:t>
        </w:r>
      </w:hyperlink>
      <w:r>
        <w:t xml:space="preserve"> </w:t>
      </w:r>
    </w:p>
    <w:p>
      <w:hyperlink r:id="rId26">
        <w:r>
          <w:rPr>
            <w:color w:val="176EA4"/>
          </w:rPr>
          <w:t>Guided exercise </w:t>
        </w:r>
      </w:hyperlink>
      <w:r>
        <w:t xml:space="preserve"> </w:t>
      </w:r>
    </w:p>
    <w:p>
      <w:pPr>
        <w:keepNext/>
      </w:pPr>
      <w:r>
        <w:rPr>
          <w:b/>
          <w:i w:val="0"/>
        </w:rPr>
        <w:t>Membrane, bending &amp; beam buckling</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pPr/>
      <w:r>
        <w:rPr>
          <w:b w:val="0"/>
          <w:i w:val="0"/>
        </w:rPr>
        <w:t>Geometry and the case determine the membrane or beam-test interpretation. Euler buckling requires a compatible beam section and a separate reference-elastic study; it is not a strength or local-buckling pass.</w:t>
      </w:r>
    </w:p>
    <w:p>
      <w:hyperlink r:id="rId30">
        <w:r>
          <w:rPr>
            <w:color w:val="176EA4"/>
          </w:rPr>
          <w:t>Theory &amp; limits</w:t>
        </w:r>
      </w:hyperlink>
      <w:r>
        <w:t xml:space="preserve"> </w:t>
      </w:r>
    </w:p>
    <w:p>
      <w:hyperlink r:id="rId31">
        <w:r>
          <w:rPr>
            <w:color w:val="176EA4"/>
          </w:rPr>
          <w:t>Guided exercise </w:t>
        </w:r>
      </w:hyperlink>
      <w:r>
        <w:t xml:space="preserve"> </w:t>
      </w:r>
    </w:p>
    <w:p>
      <w:pPr>
        <w:pStyle w:val="Heading3"/>
      </w:pPr>
      <w:r>
        <w:t>Failure durability variability</w:t>
      </w:r>
    </w:p>
    <w:p>
      <w:pPr/>
      <w:r>
        <w:rPr>
          <w:b w:val="0"/>
          <w:i w:val="0"/>
        </w:rPr>
        <w:t>Assess strength, service life and sensitivity</w:t>
      </w:r>
    </w:p>
    <w:p>
      <w:pPr>
        <w:pStyle w:val="ListBullet"/>
      </w:pPr>
      <w:r>
        <w:rPr>
          <w:b w:val="0"/>
          <w:i w:val="0"/>
        </w:rPr>
        <w:t>Ply response &amp; calibration</w:t>
      </w:r>
    </w:p>
    <w:p>
      <w:pPr>
        <w:pStyle w:val="ListBullet"/>
      </w:pPr>
      <w:r>
        <w:rPr>
          <w:b w:val="0"/>
          <w:i w:val="0"/>
        </w:rPr>
        <w:t>Selected assessment</w:t>
      </w:r>
    </w:p>
    <w:p>
      <w:pPr>
        <w:pStyle w:val="ListBullet"/>
      </w:pPr>
      <w:r>
        <w:rPr>
          <w:b w:val="0"/>
          <w:i w:val="0"/>
        </w:rPr>
        <w:t>Indices, envelopes &amp; life estimates</w:t>
      </w:r>
    </w:p>
    <w:p>
      <w:pPr>
        <w:keepNext/>
      </w:pPr>
      <w:r>
        <w:rPr>
          <w:b/>
          <w:i w:val="0"/>
        </w:rPr>
        <w:t xml:space="preserve">Explore </w:t>
      </w:r>
      <w:r>
        <w:rPr>
          <w:b/>
          <w:i w:val="0"/>
        </w:rPr>
        <w:t xml:space="preserve"> </w:t>
      </w:r>
      <w:r>
        <w:rPr>
          <w:b/>
          <w:i w:val="0"/>
        </w:rPr>
        <w:t>5</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Failure &amp; envelope comparison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pPr/>
      <w:r>
        <w:rPr>
          <w:b w:val="0"/>
          <w:i w:val="0"/>
        </w:rPr>
        <w:t>One primary failure criterion per load. In Response → Failure, compare all eligible theories or a custom selection in the envelope controls. Each theory runs independently; criteria are not blended.</w:t>
      </w:r>
    </w:p>
    <w:p>
      <w:hyperlink r:id="rId40">
        <w:r>
          <w:rPr>
            <w:color w:val="176EA4"/>
          </w:rPr>
          <w:t>Theory &amp; limits</w:t>
        </w:r>
      </w:hyperlink>
      <w:r>
        <w:t xml:space="preserve"> </w:t>
      </w:r>
    </w:p>
    <w:p>
      <w:hyperlink r:id="rId41">
        <w:r>
          <w:rPr>
            <w:color w:val="176EA4"/>
          </w:rPr>
          <w:t>Guided exercise </w:t>
        </w:r>
      </w:hyperlink>
      <w:r>
        <w:t xml:space="preserve"> </w:t>
      </w:r>
    </w:p>
    <w:p>
      <w:pPr/>
      <w:r>
        <w:rPr>
          <w:b w:val="0"/>
          <w:i w:val="0"/>
        </w:rPr>
        <w:t xml:space="preserve"> · </w:t>
      </w:r>
      <w:hyperlink r:id="rId42">
        <w:r>
          <w:rPr>
            <w:color w:val="176EA4"/>
          </w:rPr>
          <w:t>Failure equations</w:t>
        </w:r>
      </w:hyperlink>
      <w:r>
        <w:t xml:space="preserve"> </w:t>
      </w:r>
    </w:p>
    <w:p>
      <w:pPr/>
      <w:r>
        <w:rPr>
          <w:b w:val="0"/>
          <w:i w:val="0"/>
        </w:rPr>
        <w:t xml:space="preserve"> · </w:t>
      </w:r>
      <w:hyperlink r:id="rId43">
        <w:r>
          <w:rPr>
            <w:color w:val="176EA4"/>
          </w:rPr>
          <w:t>Implemented Workbench methods</w:t>
        </w:r>
      </w:hyperlink>
      <w:r>
        <w:t xml:space="preserve"> </w:t>
      </w:r>
    </w:p>
    <w:p>
      <w:pPr>
        <w:keepNext/>
      </w:pPr>
      <w:r>
        <w:rPr>
          <w:b/>
          <w:i w:val="0"/>
        </w:rPr>
        <w:t>Open-hole strength</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pStyle w:val="ListBullet"/>
      </w:pPr>
      <w:r>
        <w:rPr>
          <w:b w:val="0"/>
          <w:i w:val="0"/>
        </w:rPr>
        <w:t>Whitney–Nuismer open-hole tension</w:t>
      </w:r>
    </w:p>
    <w:p>
      <w:pPr/>
      <w:r>
        <w:rPr>
          <w:b w:val="0"/>
          <w:i w:val="0"/>
        </w:rPr>
        <w:t>Infinite-width, specially orthotropic tension screening. Point and average stress distances must be calibrated independently for this laminate. Not compression, bearing or a joint allowable.</w:t>
      </w:r>
    </w:p>
    <w:p>
      <w:hyperlink r:id="rId45">
        <w:r>
          <w:rPr>
            <w:color w:val="176EA4"/>
          </w:rPr>
          <w:t>Theory &amp; limits</w:t>
        </w:r>
      </w:hyperlink>
      <w:r>
        <w:t xml:space="preserve"> </w:t>
      </w:r>
    </w:p>
    <w:p>
      <w:hyperlink r:id="rId46">
        <w:r>
          <w:rPr>
            <w:color w:val="176EA4"/>
          </w:rPr>
          <w:t>Guided exercise </w:t>
        </w:r>
      </w:hyperlink>
      <w:r>
        <w:t xml:space="preserve"> </w:t>
      </w:r>
    </w:p>
    <w:p>
      <w:pPr>
        <w:keepNext/>
      </w:pPr>
      <w:r>
        <w:rPr>
          <w:b/>
          <w:i w:val="0"/>
        </w:rPr>
        <w:t>Creep &amp; stress relaxation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pStyle w:val="ListBullet"/>
      </w:pPr>
      <w:r>
        <w:rPr>
          <w:b w:val="0"/>
          <w:i w:val="0"/>
        </w:rPr>
        <w:t>Generalized Maxwell · axial Prony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hyperlink r:id="rId47">
        <w:r>
          <w:rPr>
            <w:color w:val="176EA4"/>
          </w:rPr>
          <w:t>Theory &amp; limits</w:t>
        </w:r>
      </w:hyperlink>
      <w:r>
        <w:t xml:space="preserve"> </w:t>
      </w:r>
    </w:p>
    <w:p>
      <w:hyperlink r:id="rId48">
        <w:r>
          <w:rPr>
            <w:color w:val="176EA4"/>
          </w:rPr>
          <w:t>Guided exercise </w:t>
        </w:r>
      </w:hyperlink>
      <w:r>
        <w:t xml:space="preserve"> </w:t>
      </w:r>
    </w:p>
    <w:p>
      <w:pPr>
        <w:keepNext/>
      </w:pPr>
      <w:r>
        <w:rPr>
          <w:b/>
          <w:i w:val="0"/>
        </w:rPr>
        <w:t>LaRC04 failure initiation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pStyle w:val="ListBullet"/>
      </w:pPr>
      <w:r>
        <w:rPr>
          <w:b w:val="0"/>
          <w:i w:val="0"/>
        </w:rPr>
        <w:t>LaRC04 · linear shear</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49">
        <w:r>
          <w:rPr>
            <w:color w:val="176EA4"/>
          </w:rPr>
          <w:t>Theory &amp; limits</w:t>
        </w:r>
      </w:hyperlink>
      <w:r>
        <w:t xml:space="preserve"> </w:t>
      </w:r>
    </w:p>
    <w:p>
      <w:hyperlink r:id="rId50">
        <w:r>
          <w:rPr>
            <w:color w:val="176EA4"/>
          </w:rPr>
          <w:t>Guided exercise </w:t>
        </w:r>
      </w:hyperlink>
      <w:r>
        <w:t xml:space="preserve"> </w:t>
      </w:r>
    </w:p>
    <w:p>
      <w:pPr>
        <w:keepNext/>
      </w:pPr>
      <w:r>
        <w:rPr>
          <w:b/>
          <w:i w:val="0"/>
        </w:rPr>
        <w:t>Uncertainty &amp; sensitivity</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pStyle w:val="ListBullet"/>
      </w:pPr>
      <w:r>
        <w:rPr>
          <w:b w:val="0"/>
          <w:i w:val="0"/>
        </w:rPr>
        <w:t>Seeded laminate uncertainty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53">
        <w:r>
          <w:rPr>
            <w:color w:val="176EA4"/>
          </w:rPr>
          <w:t>Theory &amp; limits</w:t>
        </w:r>
      </w:hyperlink>
      <w:r>
        <w:t xml:space="preserve"> </w:t>
      </w:r>
    </w:p>
    <w:p>
      <w:hyperlink r:id="rId54">
        <w:r>
          <w:rPr>
            <w:color w:val="176EA4"/>
          </w:rPr>
          <w:t>Guided exercise </w:t>
        </w:r>
      </w:hyperlink>
      <w:r>
        <w:t xml:space="preserve"> </w:t>
      </w:r>
    </w:p>
    <w:p>
      <w:pPr>
        <w:pStyle w:val="Heading3"/>
      </w:pPr>
      <w:r>
        <w:t>Virtual test lab</w:t>
      </w:r>
    </w:p>
    <w:p>
      <w:pPr/>
      <w:r>
        <w:rPr>
          <w:b w:val="0"/>
          <w:i w:val="0"/>
        </w:rPr>
        <w:t>Explore specimen behavior and calibration</w:t>
      </w:r>
    </w:p>
    <w:p>
      <w:pPr>
        <w:pStyle w:val="ListBullet"/>
      </w:pPr>
      <w:r>
        <w:rPr>
          <w:b w:val="0"/>
          <w:i w:val="0"/>
        </w:rPr>
        <w:t>Specimen &amp; material inputs</w:t>
      </w:r>
    </w:p>
    <w:p>
      <w:pPr>
        <w:pStyle w:val="ListBullet"/>
      </w:pPr>
      <w:r>
        <w:rPr>
          <w:b w:val="0"/>
          <w:i w:val="0"/>
        </w:rPr>
        <w:t>Virtual test</w:t>
      </w:r>
    </w:p>
    <w:p>
      <w:pPr>
        <w:pStyle w:val="ListBullet"/>
      </w:pPr>
      <w:r>
        <w:rPr>
          <w:b w:val="0"/>
          <w:i w:val="0"/>
        </w:rPr>
        <w:t>Response &amp; comparison</w:t>
      </w:r>
    </w:p>
    <w:p>
      <w:pPr>
        <w:keepNext/>
      </w:pPr>
      <w:r>
        <w:rPr>
          <w:b/>
          <w:i w:val="0"/>
        </w:rPr>
        <w:t xml:space="preserve">Explore </w:t>
      </w:r>
      <w:r>
        <w:rPr>
          <w:b/>
          <w:i w:val="0"/>
        </w:rPr>
        <w:t xml:space="preserve"> </w:t>
      </w:r>
      <w:r>
        <w:rPr>
          <w:b/>
          <w:i w:val="0"/>
        </w:rPr>
        <w:t>9</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D6641 · Compression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pStyle w:val="ListBullet"/>
      </w:pPr>
      <w:r>
        <w:rPr>
          <w:b w:val="0"/>
          <w:i w:val="0"/>
        </w:rPr>
        <w:t>Virtual test · compression coupon</w:t>
      </w:r>
    </w:p>
    <w:p>
      <w:pPr/>
      <w:r>
        <w:rPr>
          <w:b w:val="0"/>
          <w:i w:val="0"/>
        </w:rPr>
        <w:t>Uniform small-strain compression using linked laminate Ex and thickness. Measured compressive strength supplies a screening ratio; fixture, tabs, buckling and failure evolution are not simulated.</w:t>
      </w:r>
    </w:p>
    <w:p>
      <w:hyperlink r:id="rId55">
        <w:r>
          <w:rPr>
            <w:color w:val="176EA4"/>
          </w:rPr>
          <w:t>Theory &amp; limits</w:t>
        </w:r>
      </w:hyperlink>
      <w:r>
        <w:t xml:space="preserve"> </w:t>
      </w:r>
    </w:p>
    <w:p>
      <w:hyperlink r:id="rId56">
        <w:r>
          <w:rPr>
            <w:color w:val="176EA4"/>
          </w:rPr>
          <w:t>Guided exercise </w:t>
        </w:r>
      </w:hyperlink>
      <w:r>
        <w:t xml:space="preserve"> </w:t>
      </w:r>
    </w:p>
    <w:p>
      <w:pPr>
        <w:keepNext/>
      </w:pPr>
      <w:r>
        <w:rPr>
          <w:b/>
          <w:i w:val="0"/>
        </w:rPr>
        <w:t>D5379 / D7078 · Shear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pStyle w:val="ListBullet"/>
      </w:pPr>
      <w:r>
        <w:rPr>
          <w:b w:val="0"/>
          <w:i w:val="0"/>
        </w:rPr>
        <w:t>Virtual test · nominal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hyperlink r:id="rId57">
        <w:r>
          <w:rPr>
            <w:color w:val="176EA4"/>
          </w:rPr>
          <w:t>Theory &amp; limits</w:t>
        </w:r>
      </w:hyperlink>
      <w:r>
        <w:t xml:space="preserve"> </w:t>
      </w:r>
    </w:p>
    <w:p>
      <w:hyperlink r:id="rId58">
        <w:r>
          <w:rPr>
            <w:color w:val="176EA4"/>
          </w:rPr>
          <w:t>Guided exercise </w:t>
        </w:r>
      </w:hyperlink>
      <w:r>
        <w:t xml:space="preserve"> </w:t>
      </w:r>
    </w:p>
    <w:p>
      <w:pPr>
        <w:keepNext/>
      </w:pPr>
      <w:r>
        <w:rPr>
          <w:b/>
          <w:i w:val="0"/>
        </w:rPr>
        <w:t>D5528 · DCB opening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pStyle w:val="ListBullet"/>
      </w:pPr>
      <w:r>
        <w:rPr>
          <w:b w:val="0"/>
          <w:i w:val="0"/>
        </w:rPr>
        <w:t>Virtual test · DCB beam compliance</w:t>
      </w:r>
    </w:p>
    <w:p>
      <w:pPr/>
      <w:r>
        <w:rPr>
          <w:b w:val="0"/>
          <w:i w:val="0"/>
        </w:rPr>
        <w:t>Ideal Euler–Bernoulli DCB with equal homogeneous 0° arms, each half the linked laminate thickness. No root rotation, shear, large displacement or cohesive growth. Critical load is an initiation estimate from supplied GIc.</w:t>
      </w:r>
    </w:p>
    <w:p>
      <w:hyperlink r:id="rId59">
        <w:r>
          <w:rPr>
            <w:color w:val="176EA4"/>
          </w:rPr>
          <w:t>Theory &amp; limits</w:t>
        </w:r>
      </w:hyperlink>
      <w:r>
        <w:t xml:space="preserve"> </w:t>
      </w:r>
    </w:p>
    <w:p>
      <w:hyperlink r:id="rId60">
        <w:r>
          <w:rPr>
            <w:color w:val="176EA4"/>
          </w:rPr>
          <w:t>Guided exercise </w:t>
        </w:r>
      </w:hyperlink>
      <w:r>
        <w:t xml:space="preserve"> </w:t>
      </w:r>
    </w:p>
    <w:p>
      <w:pPr>
        <w:keepNext/>
      </w:pPr>
      <w:r>
        <w:rPr>
          <w:b/>
          <w:i w:val="0"/>
        </w:rPr>
        <w:t>D7905 · ENF sliding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pStyle w:val="ListBullet"/>
      </w:pPr>
      <w:r>
        <w:rPr>
          <w:b w:val="0"/>
          <w:i w:val="0"/>
        </w:rPr>
        <w:t>Virtual test · ENF beam compliance</w:t>
      </w:r>
    </w:p>
    <w:p>
      <w:pPr/>
      <w:r>
        <w:rPr>
          <w:b w:val="0"/>
          <w:i w:val="0"/>
        </w:rPr>
        <w:t>Ideal equal-arm, homogeneous 0° ENF beam; support span is twice the half-span. Crack must be shorter than the half-span. No shear/root correction or unstable crack growth. GIIc is supplied, not fitted automatically.</w:t>
      </w:r>
    </w:p>
    <w:p>
      <w:hyperlink r:id="rId61">
        <w:r>
          <w:rPr>
            <w:color w:val="176EA4"/>
          </w:rPr>
          <w:t>Theory &amp; limits</w:t>
        </w:r>
      </w:hyperlink>
      <w:r>
        <w:t xml:space="preserve"> </w:t>
      </w:r>
    </w:p>
    <w:p>
      <w:hyperlink r:id="rId62">
        <w:r>
          <w:rPr>
            <w:color w:val="176EA4"/>
          </w:rPr>
          <w:t>Guided exercise </w:t>
        </w:r>
      </w:hyperlink>
      <w:r>
        <w:t xml:space="preserve"> </w:t>
      </w:r>
    </w:p>
    <w:p>
      <w:pPr>
        <w:keepNext/>
      </w:pPr>
      <w:r>
        <w:rPr>
          <w:b/>
          <w:i w:val="0"/>
        </w:rPr>
        <w:t>D6671 · Mixed-mode fracture envelope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pStyle w:val="ListBullet"/>
      </w:pPr>
      <w:r>
        <w:rPr>
          <w:b w:val="0"/>
          <w:i w:val="0"/>
        </w:rPr>
        <w:t>Virtual test · BK mixed-mode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hyperlink r:id="rId63">
        <w:r>
          <w:rPr>
            <w:color w:val="176EA4"/>
          </w:rPr>
          <w:t>Theory &amp; limits</w:t>
        </w:r>
      </w:hyperlink>
      <w:r>
        <w:t xml:space="preserve"> </w:t>
      </w:r>
    </w:p>
    <w:p>
      <w:hyperlink r:id="rId64">
        <w:r>
          <w:rPr>
            <w:color w:val="176EA4"/>
          </w:rPr>
          <w:t>Guided exercise </w:t>
        </w:r>
      </w:hyperlink>
      <w:r>
        <w:t xml:space="preserve"> </w:t>
      </w:r>
    </w:p>
    <w:p>
      <w:pPr>
        <w:keepNext/>
      </w:pPr>
      <w:r>
        <w:rPr>
          <w:b/>
          <w:i w:val="0"/>
        </w:rPr>
        <w:t>D5961 · Bearing / bypass screening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pStyle w:val="ListBullet"/>
      </w:pPr>
      <w:r>
        <w:rPr>
          <w:b w:val="0"/>
          <w:i w:val="0"/>
        </w:rPr>
        <w:t>Virtual test · bearing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hyperlink r:id="rId67">
        <w:r>
          <w:rPr>
            <w:color w:val="176EA4"/>
          </w:rPr>
          <w:t>Theory &amp; limits</w:t>
        </w:r>
      </w:hyperlink>
      <w:r>
        <w:t xml:space="preserve"> </w:t>
      </w:r>
    </w:p>
    <w:p>
      <w:hyperlink r:id="rId68">
        <w:r>
          <w:rPr>
            <w:color w:val="176EA4"/>
          </w:rPr>
          <w:t>Guided exercise </w:t>
        </w:r>
      </w:hyperlink>
      <w:r>
        <w:t xml:space="preserve"> </w:t>
      </w:r>
    </w:p>
    <w:p>
      <w:pPr>
        <w:keepNext/>
      </w:pPr>
      <w:r>
        <w:rPr>
          <w:b/>
          <w:i w:val="0"/>
        </w:rPr>
        <w:t>D6484 · Open-hole compression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pStyle w:val="ListBullet"/>
      </w:pPr>
      <w:r>
        <w:rPr>
          <w:b w:val="0"/>
          <w:i w:val="0"/>
        </w:rPr>
        <w:t>Virtual test · measured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hyperlink r:id="rId69">
        <w:r>
          <w:rPr>
            <w:color w:val="176EA4"/>
          </w:rPr>
          <w:t>Theory &amp; limits</w:t>
        </w:r>
      </w:hyperlink>
      <w:r>
        <w:t xml:space="preserve"> </w:t>
      </w:r>
    </w:p>
    <w:p>
      <w:hyperlink r:id="rId70">
        <w:r>
          <w:rPr>
            <w:color w:val="176EA4"/>
          </w:rPr>
          <w:t>Guided exercise </w:t>
        </w:r>
      </w:hyperlink>
      <w:r>
        <w:t xml:space="preserve"> </w:t>
      </w:r>
    </w:p>
    <w:p>
      <w:pPr>
        <w:keepNext/>
      </w:pPr>
      <w:r>
        <w:rPr>
          <w:b/>
          <w:i w:val="0"/>
        </w:rPr>
        <w:t>D6742 · Filled-hole comparison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pStyle w:val="ListBullet"/>
      </w:pPr>
      <w:r>
        <w:rPr>
          <w:b w:val="0"/>
          <w:i w:val="0"/>
        </w:rPr>
        <w:t>Virtual test · measured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hyperlink r:id="rId71">
        <w:r>
          <w:rPr>
            <w:color w:val="176EA4"/>
          </w:rPr>
          <w:t>Theory &amp; limits</w:t>
        </w:r>
      </w:hyperlink>
      <w:r>
        <w:t xml:space="preserve"> </w:t>
      </w:r>
    </w:p>
    <w:p>
      <w:hyperlink r:id="rId72">
        <w:r>
          <w:rPr>
            <w:color w:val="176EA4"/>
          </w:rPr>
          <w:t>Guided exercise </w:t>
        </w:r>
      </w:hyperlink>
      <w:r>
        <w:t xml:space="preserve"> </w:t>
      </w:r>
    </w:p>
    <w:p>
      <w:pPr>
        <w:keepNext/>
      </w:pPr>
      <w:r>
        <w:rPr>
          <w:b/>
          <w:i w:val="0"/>
        </w:rPr>
        <w:t>D7136 / D7137 · Impact &amp; CAI assessment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ListBullet"/>
      </w:pPr>
      <w:r>
        <w:rPr>
          <w:b w:val="0"/>
          <w:i w:val="0"/>
        </w:rPr>
        <w:t>Virtual test · measured impact and CAI</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73">
        <w:r>
          <w:rPr>
            <w:color w:val="176EA4"/>
          </w:rPr>
          <w:t>Theory &amp; limits</w:t>
        </w:r>
      </w:hyperlink>
      <w:r>
        <w:t xml:space="preserve"> </w:t>
      </w:r>
    </w:p>
    <w:p>
      <w:hyperlink r:id="rId74">
        <w:r>
          <w:rPr>
            <w:color w:val="176EA4"/>
          </w:rPr>
          <w:t>Guided exercise </w:t>
        </w:r>
      </w:hyperlink>
      <w:r>
        <w:t xml:space="preserve"> </w:t>
      </w:r>
    </w:p>
    <w:p>
      <w:pPr>
        <w:pStyle w:val="Heading3"/>
      </w:pPr>
      <w:r>
        <w:t>Electromagnetics RF</w:t>
      </w:r>
    </w:p>
    <w:p>
      <w:pPr/>
      <w:r>
        <w:rPr>
          <w:b w:val="0"/>
          <w:i w:val="0"/>
        </w:rPr>
        <w:t>Design dielectric mixtures, shielding and periodic layers</w:t>
      </w:r>
    </w:p>
    <w:p>
      <w:pPr>
        <w:pStyle w:val="ListBullet"/>
      </w:pPr>
      <w:r>
        <w:rPr>
          <w:b w:val="0"/>
          <w:i w:val="0"/>
        </w:rPr>
        <w:t>Electrical properties &amp; layers</w:t>
      </w:r>
    </w:p>
    <w:p>
      <w:pPr>
        <w:pStyle w:val="ListBullet"/>
      </w:pPr>
      <w:r>
        <w:rPr>
          <w:b w:val="0"/>
          <w:i w:val="0"/>
        </w:rPr>
        <w:t>Effective medium / wave propagation</w:t>
      </w:r>
    </w:p>
    <w:p>
      <w:pPr>
        <w:pStyle w:val="ListBullet"/>
      </w:pPr>
      <w:r>
        <w:rPr>
          <w:b w:val="0"/>
          <w:i w:val="0"/>
        </w:rPr>
        <w:t>Permittivity &amp; RF response</w:t>
      </w:r>
    </w:p>
    <w:p>
      <w:pPr>
        <w:keepNext/>
      </w:pPr>
      <w:r>
        <w:rPr>
          <w:b/>
          <w:i w:val="0"/>
        </w:rPr>
        <w:t xml:space="preserve">Explore </w:t>
      </w:r>
      <w:r>
        <w:rPr>
          <w:b/>
          <w:i w:val="0"/>
        </w:rPr>
        <w:t xml:space="preserve"> </w:t>
      </w:r>
      <w:r>
        <w:rPr>
          <w:b/>
          <w:i w:val="0"/>
        </w:rPr>
        <w:t>4</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4</w:t>
      </w:r>
      <w:r>
        <w:rPr>
          <w:b/>
          <w:i w:val="0"/>
        </w:rPr>
        <w:t xml:space="preserve"> </w:t>
      </w:r>
      <w:r>
        <w:rPr>
          <w:b/>
          <w:i w:val="0"/>
        </w:rPr>
        <w:t xml:space="preserve"> model choices</w:t>
      </w:r>
    </w:p>
    <w:p>
      <w:pPr>
        <w:keepNext/>
      </w:pPr>
      <w:r>
        <w:rPr>
          <w:b/>
          <w:i w:val="0"/>
        </w:rPr>
        <w:t>Normal-incidence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Normal-incidence laminate TMM</w:t>
      </w:r>
    </w:p>
    <w:p>
      <w:pPr/>
      <w:r>
        <w:rPr>
          <w:b w:val="0"/>
          <w:i w:val="0"/>
        </w:rPr>
        <w:t>Coherent isotropic nonmagnetic layers between air half-spaces.</w:t>
      </w:r>
    </w:p>
    <w:p>
      <w:hyperlink r:id="rId81">
        <w:r>
          <w:rPr>
            <w:color w:val="176EA4"/>
          </w:rPr>
          <w:t>Theory &amp; limits</w:t>
        </w:r>
      </w:hyperlink>
      <w:r>
        <w:t xml:space="preserve"> </w:t>
      </w:r>
    </w:p>
    <w:p>
      <w:hyperlink r:id="rId82">
        <w:r>
          <w:rPr>
            <w:color w:val="176EA4"/>
          </w:rPr>
          <w:t>Guided exercise </w:t>
        </w:r>
      </w:hyperlink>
      <w:r>
        <w:t xml:space="preserve"> </w:t>
      </w:r>
    </w:p>
    <w:p>
      <w:pPr>
        <w:keepNext/>
      </w:pPr>
      <w:r>
        <w:rPr>
          <w:b/>
          <w:i w:val="0"/>
        </w:rPr>
        <w:t>Oblique polarized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Oblique polarized laminate TMM</w:t>
      </w:r>
    </w:p>
    <w:p>
      <w:pPr/>
      <w:r>
        <w:rPr>
          <w:b w:val="0"/>
          <w:i w:val="0"/>
        </w:rPr>
        <w:t>TE or TM waves; scalar isotropic layers, no polarization conversion.</w:t>
      </w:r>
    </w:p>
    <w:p>
      <w:hyperlink r:id="rId95">
        <w:r>
          <w:rPr>
            <w:color w:val="176EA4"/>
          </w:rPr>
          <w:t>Theory &amp; limits</w:t>
        </w:r>
      </w:hyperlink>
      <w:r>
        <w:t xml:space="preserve"> </w:t>
      </w:r>
    </w:p>
    <w:p>
      <w:hyperlink r:id="rId96">
        <w:r>
          <w:rPr>
            <w:color w:val="176EA4"/>
          </w:rPr>
          <w:t>Guided exercise </w:t>
        </w:r>
      </w:hyperlink>
      <w:r>
        <w:t xml:space="preserve"> </w:t>
      </w:r>
    </w:p>
    <w:p>
      <w:pPr>
        <w:keepNext/>
      </w:pPr>
      <w:r>
        <w:rPr>
          <w:b/>
          <w:i w:val="0"/>
        </w:rPr>
        <w:t>1D transmission line matrix</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pStyle w:val="ListBullet"/>
      </w:pPr>
      <w:r>
        <w:rPr>
          <w:b w:val="0"/>
          <w:i w:val="0"/>
        </w:rPr>
        <w:t>EM · 1D transmission line matrix</w:t>
      </w:r>
    </w:p>
    <w:p>
      <w:pPr/>
      <w:r>
        <w:rPr>
          <w:b w:val="0"/>
          <w:i w:val="0"/>
        </w:rPr>
        <w:t>Normal-incidence lossless delay-line mesh with pulse decay, energy and mesh-refinement safeguards. Explicit Run required; not a 3D solver.</w:t>
      </w:r>
    </w:p>
    <w:p>
      <w:hyperlink r:id="rId97">
        <w:r>
          <w:rPr>
            <w:color w:val="176EA4"/>
          </w:rPr>
          <w:t>Theory &amp; limits</w:t>
        </w:r>
      </w:hyperlink>
      <w:r>
        <w:t xml:space="preserve"> </w:t>
      </w:r>
    </w:p>
    <w:p>
      <w:hyperlink r:id="rId98">
        <w:r>
          <w:rPr>
            <w:color w:val="176EA4"/>
          </w:rPr>
          <w:t>Guided exercise </w:t>
        </w:r>
      </w:hyperlink>
      <w:r>
        <w:t xml:space="preserve"> </w:t>
      </w:r>
    </w:p>
    <w:p>
      <w:pPr>
        <w:keepNext/>
      </w:pPr>
      <w:r>
        <w:rPr>
          <w:b/>
          <w:i w:val="0"/>
        </w:rPr>
        <w:t>1D Floquet–Bloch periodic layers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pStyle w:val="ListBullet"/>
      </w:pPr>
      <w:r>
        <w:rPr>
          <w:b w:val="0"/>
          <w:i w:val="0"/>
        </w:rPr>
        <w:t>EM · 1D Floquet–Bloch periodic layers</w:t>
      </w:r>
    </w:p>
    <w:p>
      <w:pPr/>
      <w:r>
        <w:rPr>
          <w:b w:val="0"/>
          <w:i w:val="0"/>
        </w:rPr>
        <w:t>Lossless isotropic A/B unit-cell eigenvalues, folded Bloch phase and stop-band attenuation at normal incidence. Not arbitrary-cell homogenization.</w:t>
      </w:r>
    </w:p>
    <w:p>
      <w:hyperlink r:id="rId99">
        <w:r>
          <w:rPr>
            <w:color w:val="176EA4"/>
          </w:rPr>
          <w:t>Theory &amp; limits</w:t>
        </w:r>
      </w:hyperlink>
      <w:r>
        <w:t xml:space="preserve"> </w:t>
      </w:r>
    </w:p>
    <w:p>
      <w:hyperlink r:id="rId100">
        <w:r>
          <w:rPr>
            <w:color w:val="176EA4"/>
          </w:rPr>
          <w:t>Guided exercise </w:t>
        </w:r>
      </w:hyperlink>
      <w:r>
        <w:t xml:space="preserve"> </w:t>
      </w:r>
    </w:p>
    <w:p>
      <w:hyperlink r:id="rId118">
        <w:r>
          <w:rPr>
            <w:color w:val="176EA4"/>
          </w:rPr>
          <w:t>Next workflow page 03.4 Processing →</w:t>
        </w:r>
      </w:hyperlink>
      <w:r>
        <w:t xml:space="preserve"> </w:t>
      </w:r>
    </w:p>
    <w:p>
      <w:bookmarkStart w:id="6" w:name="chapter_6"/>
      <w:pPr>
        <w:pStyle w:val="Heading1"/>
        <w:pageBreakBefore/>
      </w:pPr>
      <w:r>
        <w:t>6 Build a trusted materials foundation</w:t>
      </w:r>
      <w:bookmarkEnd w:id="6"/>
    </w:p>
    <w:p>
      <w:pPr>
        <w:pStyle w:val="Caption"/>
      </w:pPr>
      <w:hyperlink r:id="rId114">
        <w:r>
          <w:rPr>
            <w:color w:val="176EA4"/>
          </w:rPr>
          <w:t>Online chapter</w:t>
        </w:r>
      </w:hyperlink>
      <w:r>
        <w:t xml:space="preserve"> </w:t>
      </w:r>
    </w:p>
    <w:p>
      <w:pPr/>
      <w:r>
        <w:rPr>
          <w:b w:val="0"/>
          <w:i w:val="0"/>
        </w:rPr>
        <w:t>Organize source-aware constituents, vendor records, prepregs, adhesives, cores, sandwich systems, diffusion data, cure kinetics, crystallization kinetics, reaction heat, and process shrinkage into reusable engineering records.</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7" name="Picture 7" descr="CDS workflow or model illustration"/>
            <wp:cNvGraphicFramePr>
              <a:graphicFrameLocks noChangeAspect="1"/>
            </wp:cNvGraphicFramePr>
            <a:graphic>
              <a:graphicData uri="http://schemas.openxmlformats.org/drawingml/2006/picture">
                <pic:pic>
                  <pic:nvPicPr>
                    <pic:cNvPr id="0" name="rsvg-f24009332ae24c1362f2b359ad36a7ce9c736e742dd0a83654e84abeb7e1313b.png"/>
                    <pic:cNvPicPr/>
                  </pic:nvPicPr>
                  <pic:blipFill>
                    <a:blip r:embed="rId110"/>
                    <a:stretch>
                      <a:fillRect/>
                    </a:stretch>
                  </pic:blipFill>
                  <pic:spPr>
                    <a:xfrm>
                      <a:off x="0" y="0"/>
                      <a:ext cx="6217920" cy="1935767"/>
                    </a:xfrm>
                    <a:prstGeom prst="rect"/>
                  </pic:spPr>
                </pic:pic>
              </a:graphicData>
            </a:graphic>
          </wp:inline>
        </w:drawing>
      </w:r>
    </w:p>
    <w:p>
      <w:pPr/>
      <w:r>
        <w:rPr>
          <w:b w:val="0"/>
          <w:i w:val="0"/>
        </w:rPr>
        <w:t>Materials → Micro → Laminate.</w:t>
      </w:r>
    </w:p>
    <w:p>
      <w:pPr/>
      <w:r>
        <w:rPr>
          <w:b w:val="0"/>
          <w:i w:val="0"/>
        </w:rPr>
        <w:t>03.1</w:t>
      </w:r>
      <w:r>
        <w:rPr>
          <w:b w:val="0"/>
          <w:i w:val="0"/>
        </w:rPr>
        <w:t xml:space="preserve"> </w:t>
      </w:r>
      <w:r>
        <w:rPr>
          <w:b w:val="0"/>
          <w:i w:val="0"/>
        </w:rPr>
        <w:t xml:space="preserve"> / Workflow focus</w:t>
      </w:r>
    </w:p>
    <w:p>
      <w:pPr/>
      <w:r>
        <w:rPr>
          <w:b w:val="0"/>
          <w:i w:val="0"/>
        </w:rPr>
        <w:t>Connected engineering record</w:t>
      </w:r>
    </w:p>
    <w:p>
      <w:pPr>
        <w:pStyle w:val="Heading2"/>
      </w:pPr>
      <w:r>
        <w:t>Source-aware constituents</w:t>
      </w:r>
    </w:p>
    <w:p>
      <w:pPr/>
      <w:r>
        <w:rPr>
          <w:b w:val="0"/>
          <w:i w:val="0"/>
        </w:rPr>
        <w:t>Keep elastic, strength, density and transport data with their units, sources and calibration basis.</w:t>
      </w:r>
    </w:p>
    <w:p>
      <w:pPr>
        <w:pStyle w:val="Heading2"/>
      </w:pPr>
      <w:r>
        <w:t>Material models</w:t>
      </w:r>
    </w:p>
    <w:p>
      <w:pPr/>
      <w:r>
        <w:rPr>
          <w:b w:val="0"/>
          <w:i w:val="0"/>
        </w:rPr>
        <w:t>Assign calibrated cure, crystallization, modulus or transport models through the material record. A model sitting in the tree does not contribute until it is linked.</w:t>
      </w:r>
    </w:p>
    <w:p>
      <w:pPr>
        <w:pStyle w:val="Heading2"/>
      </w:pPr>
      <w:r>
        <w:t>Measured or predicted plies</w:t>
      </w:r>
    </w:p>
    <w:p>
      <w:pPr/>
      <w:r>
        <w:rPr>
          <w:b w:val="0"/>
          <w:i w:val="0"/>
        </w:rPr>
        <w:t>A laminate ply can use a stored material or linked Micro recipe. Check the resolved properties before selecting the structural study.</w:t>
      </w:r>
    </w:p>
    <w:p>
      <w:pPr>
        <w:pStyle w:val="Heading2"/>
      </w:pPr>
      <w:r>
        <w:t>Data handoff</w:t>
      </w:r>
    </w:p>
    <w:p>
      <w:pPr/>
      <w:r>
        <w:rPr>
          <w:b w:val="0"/>
          <w:i w:val="0"/>
        </w:rPr>
        <w:t>Materials feed Micro and the linked laminate. Compatible transport studies evaluate the selected material laws; not every structural study includes processing.</w:t>
      </w:r>
    </w:p>
    <w:p>
      <w:pPr/>
      <w:r>
        <w:rPr>
          <w:b w:val="0"/>
          <w:i w:val="0"/>
        </w:rPr>
        <w:t xml:space="preserve">Workbench availability: </w:t>
      </w:r>
      <w:hyperlink r:id="rId11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3">
        <w:r>
          <w:rPr>
            <w:color w:val="176EA4"/>
          </w:rPr>
          <w:t>Use this workflow in Workbench: interactive Blocks, record selections and connection controls →</w:t>
        </w:r>
      </w:hyperlink>
      <w:r>
        <w:t xml:space="preserve"> </w:t>
      </w:r>
    </w:p>
    <w:p>
      <w:pPr>
        <w:pStyle w:val="Heading2"/>
      </w:pPr>
      <w:r>
        <w:t>Materials released model connections</w:t>
      </w:r>
    </w:p>
    <w:p>
      <w:pPr/>
      <w:r>
        <w:rPr>
          <w:b w:val="0"/>
          <w:i w:val="0"/>
        </w:rPr>
        <w:t xml:space="preserve">Expand a family for inputs, outputs, supported formulations, theory and an exercise. </w:t>
      </w:r>
      <w:hyperlink r:id="rId111">
        <w:r>
          <w:rPr>
            <w:color w:val="176EA4"/>
          </w:rPr>
          <w:t>All model families </w:t>
        </w:r>
      </w:hyperlink>
      <w:r>
        <w:t xml:space="preserve"> </w:t>
      </w:r>
    </w:p>
    <w:p>
      <w:pPr>
        <w:pStyle w:val="Heading3"/>
      </w:pPr>
      <w:r>
        <w:t>Heat moisture manufacturing</w:t>
      </w:r>
    </w:p>
    <w:p>
      <w:pPr/>
      <w:r>
        <w:rPr>
          <w:b w:val="0"/>
          <w:i w:val="0"/>
        </w:rPr>
        <w:t>Cure, pultrusion, conditioning and tool release</w:t>
      </w:r>
    </w:p>
    <w:p>
      <w:pPr>
        <w:pStyle w:val="ListBullet"/>
      </w:pPr>
      <w:r>
        <w:rPr>
          <w:b w:val="0"/>
          <w:i w:val="0"/>
        </w:rPr>
        <w:t>Material laws &amp; boundary cycles</w:t>
      </w:r>
    </w:p>
    <w:p>
      <w:pPr>
        <w:pStyle w:val="ListBullet"/>
      </w:pPr>
      <w:r>
        <w:rPr>
          <w:b w:val="0"/>
          <w:i w:val="0"/>
        </w:rPr>
        <w:t>Transport &amp; reaction</w:t>
      </w:r>
    </w:p>
    <w:p>
      <w:pPr>
        <w:pStyle w:val="ListBullet"/>
      </w:pPr>
      <w:r>
        <w:rPr>
          <w:b w:val="0"/>
          <w:i w:val="0"/>
        </w:rPr>
        <w:t>History &amp; compatible process fields</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8</w:t>
      </w:r>
      <w:r>
        <w:rPr>
          <w:b/>
          <w:i w:val="0"/>
        </w:rPr>
        <w:t xml:space="preserve"> </w:t>
      </w:r>
      <w:r>
        <w:rPr>
          <w:b/>
          <w:i w:val="0"/>
        </w:rPr>
        <w:t xml:space="preserve"> model choices</w:t>
      </w:r>
    </w:p>
    <w:p>
      <w:pPr>
        <w:keepNext/>
      </w:pPr>
      <w:r>
        <w:rPr>
          <w:b/>
          <w:i w:val="0"/>
        </w:rPr>
        <w:t>Cure, crystallization &amp; material transport</w:t>
      </w:r>
      <w:r>
        <w:rPr>
          <w:b/>
          <w:i w:val="0"/>
        </w:rPr>
        <w:t xml:space="preserve"> </w:t>
      </w:r>
      <w:r>
        <w:rPr>
          <w:b/>
          <w:i w:val="0"/>
        </w:rPr>
        <w:t xml:space="preserve"> </w:t>
      </w:r>
      <w:r>
        <w:rPr>
          <w:b/>
          <w:i w:val="0"/>
        </w:rPr>
        <w:t xml:space="preserve">· </w:t>
      </w:r>
      <w:r>
        <w:rPr>
          <w:b/>
          <w:i w:val="0"/>
        </w:rPr>
        <w:t xml:space="preserve"> </w:t>
      </w:r>
      <w:r>
        <w:rPr>
          <w:b/>
          <w:i w:val="0"/>
        </w:rPr>
        <w:t>8</w:t>
      </w:r>
      <w:r>
        <w:rPr>
          <w:b/>
        </w:rPr>
        <w:t xml:space="preserve"> </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pPr/>
      <w:r>
        <w:rPr>
          <w:b w:val="0"/>
          <w:i w:val="0"/>
        </w:rPr>
        <w:t>Independent model records can be linked together through material inputs. A saved model must be assigned to a material before it contributes to a simulation.</w:t>
      </w:r>
    </w:p>
    <w:p>
      <w:hyperlink r:id="rId13">
        <w:r>
          <w:rPr>
            <w:color w:val="176EA4"/>
          </w:rPr>
          <w:t>Theory &amp; limits</w:t>
        </w:r>
      </w:hyperlink>
      <w:r>
        <w:t xml:space="preserve"> </w:t>
      </w:r>
    </w:p>
    <w:p>
      <w:hyperlink r:id="rId14">
        <w:r>
          <w:rPr>
            <w:color w:val="176EA4"/>
          </w:rPr>
          <w:t>Guided exercise </w:t>
        </w:r>
      </w:hyperlink>
      <w:r>
        <w:t xml:space="preserve"> </w:t>
      </w:r>
    </w:p>
    <w:p>
      <w:pPr/>
      <w:r>
        <w:rPr>
          <w:b w:val="0"/>
          <w:i w:val="0"/>
        </w:rPr>
        <w:t xml:space="preserve"> · </w:t>
      </w:r>
      <w:hyperlink r:id="rId15">
        <w:r>
          <w:rPr>
            <w:color w:val="176EA4"/>
          </w:rPr>
          <w:t>Cure kinetics</w:t>
        </w:r>
      </w:hyperlink>
      <w:r>
        <w:t xml:space="preserve"> </w:t>
      </w:r>
    </w:p>
    <w:p>
      <w:pPr/>
      <w:r>
        <w:rPr>
          <w:b w:val="0"/>
          <w:i w:val="0"/>
        </w:rPr>
        <w:t xml:space="preserve"> · </w:t>
      </w:r>
      <w:hyperlink r:id="rId16">
        <w:r>
          <w:rPr>
            <w:color w:val="176EA4"/>
          </w:rPr>
          <w:t>Crystallization kinetics</w:t>
        </w:r>
      </w:hyperlink>
      <w:r>
        <w:t xml:space="preserve"> </w:t>
      </w:r>
    </w:p>
    <w:p>
      <w:hyperlink r:id="rId119">
        <w:r>
          <w:rPr>
            <w:color w:val="176EA4"/>
          </w:rPr>
          <w:t>Next workflow page 03.2 Micromechanics →</w:t>
        </w:r>
      </w:hyperlink>
      <w:r>
        <w:t xml:space="preserve"> </w:t>
      </w:r>
    </w:p>
    <w:p>
      <w:bookmarkStart w:id="7" w:name="chapter_7"/>
      <w:pPr>
        <w:pStyle w:val="Heading1"/>
        <w:pageBreakBefore/>
      </w:pPr>
      <w:r>
        <w:t>7 Translate constituents into effective material behavior</w:t>
      </w:r>
      <w:bookmarkEnd w:id="7"/>
    </w:p>
    <w:p>
      <w:pPr>
        <w:pStyle w:val="Caption"/>
      </w:pPr>
      <w:hyperlink r:id="rId119">
        <w:r>
          <w:rPr>
            <w:color w:val="176EA4"/>
          </w:rPr>
          <w:t>Online chapter</w:t>
        </w:r>
      </w:hyperlink>
      <w:r>
        <w:t xml:space="preserve"> </w:t>
      </w:r>
    </w:p>
    <w:p>
      <w:pPr/>
      <w:r>
        <w:rPr>
          <w:b w:val="0"/>
          <w:i w:val="0"/>
        </w:rPr>
        <w:t>Choose a released architecture-compatible homogenization model, inspect its reference ply properties, and carry those properties into the laminate.</w:t>
      </w:r>
    </w:p>
    <w:p>
      <w:pPr>
        <w:pStyle w:val="Heading2"/>
      </w:pPr>
      <w:r>
        <w:t>One cell A whole fabric</w:t>
      </w:r>
    </w:p>
    <w:p>
      <w:pPr/>
      <w:r>
        <w:rPr>
          <w:b w:val="0"/>
          <w:i w:val="0"/>
        </w:rPr>
        <w:t>Explore plain, twill and satin yarn surfaces in Micro, Live Stack, CREATE and DISCOVER. Switch between one repeat and 2 × 2 or 3 × 3 cells, then rotate and zoom. CREATE carries the selected weave and woven bridging model into SIMULATE, subject to your license.</w:t>
      </w:r>
    </w:p>
    <w:p>
      <w:pPr>
        <w:keepNext w:val="0"/>
        <w:jc w:val="center"/>
      </w:pPr>
      <w:r>
        <w:drawing>
          <wp:inline xmlns:a="http://schemas.openxmlformats.org/drawingml/2006/main" xmlns:pic="http://schemas.openxmlformats.org/drawingml/2006/picture">
            <wp:extent cx="6217920" cy="5080361"/>
            <wp:docPr id="8" name="Picture 8" descr="DISCOVER: repeat a twill unit cell into a fabric patch."/>
            <wp:cNvGraphicFramePr>
              <a:graphicFrameLocks noChangeAspect="1"/>
            </wp:cNvGraphicFramePr>
            <a:graphic>
              <a:graphicData uri="http://schemas.openxmlformats.org/drawingml/2006/picture">
                <pic:pic>
                  <pic:nvPicPr>
                    <pic:cNvPr id="0" name="da2ada5a38ad6728fda07cafb4e96ad8e43a64c7988fa8dd7330d7cd176966bb.png"/>
                    <pic:cNvPicPr/>
                  </pic:nvPicPr>
                  <pic:blipFill>
                    <a:blip r:embed="rId120"/>
                    <a:stretch>
                      <a:fillRect/>
                    </a:stretch>
                  </pic:blipFill>
                  <pic:spPr>
                    <a:xfrm>
                      <a:off x="0" y="0"/>
                      <a:ext cx="6217920" cy="5080361"/>
                    </a:xfrm>
                    <a:prstGeom prst="rect"/>
                  </pic:spPr>
                </pic:pic>
              </a:graphicData>
            </a:graphic>
          </wp:inline>
        </w:drawing>
      </w:r>
    </w:p>
    <w:p>
      <w:pPr>
        <w:pStyle w:val="Caption"/>
      </w:pPr>
      <w:r>
        <w:rPr>
          <w:b w:val="0"/>
          <w:i w:val="0"/>
        </w:rPr>
        <w:t>DISCOVER: repeat a twill unit cell into a fabric patch.</w:t>
      </w:r>
    </w:p>
    <w:p>
      <w:pPr>
        <w:keepNext/>
        <w:jc w:val="center"/>
      </w:pPr>
      <w:r>
        <w:drawing>
          <wp:inline xmlns:a="http://schemas.openxmlformats.org/drawingml/2006/main" xmlns:pic="http://schemas.openxmlformats.org/drawingml/2006/picture">
            <wp:extent cx="6217920" cy="5080361"/>
            <wp:docPr id="9" name="Picture 9" descr="CREATE: carry the weave into a connected laminate recipe."/>
            <wp:cNvGraphicFramePr>
              <a:graphicFrameLocks noChangeAspect="1"/>
            </wp:cNvGraphicFramePr>
            <a:graphic>
              <a:graphicData uri="http://schemas.openxmlformats.org/drawingml/2006/picture">
                <pic:pic>
                  <pic:nvPicPr>
                    <pic:cNvPr id="0" name="80a8d15d3950afa2d432447cacd54e9ad48c2cd10c9e45b2b74e620d18c4512d.png"/>
                    <pic:cNvPicPr/>
                  </pic:nvPicPr>
                  <pic:blipFill>
                    <a:blip r:embed="rId121"/>
                    <a:stretch>
                      <a:fillRect/>
                    </a:stretch>
                  </pic:blipFill>
                  <pic:spPr>
                    <a:xfrm>
                      <a:off x="0" y="0"/>
                      <a:ext cx="6217920" cy="5080361"/>
                    </a:xfrm>
                    <a:prstGeom prst="rect"/>
                  </pic:spPr>
                </pic:pic>
              </a:graphicData>
            </a:graphic>
          </wp:inline>
        </w:drawing>
      </w:r>
    </w:p>
    <w:p>
      <w:pPr>
        <w:pStyle w:val="Caption"/>
      </w:pPr>
      <w:r>
        <w:rPr>
          <w:b w:val="0"/>
          <w:i w:val="0"/>
        </w:rPr>
        <w:t>CREATE: carry the weave into a connected laminate recipe.</w:t>
      </w:r>
    </w:p>
    <w:p>
      <w:pPr/>
      <w:r>
        <w:rPr>
          <w:b w:val="0"/>
          <w:i w:val="0"/>
        </w:rPr>
        <w:t>Captured from the Workbench components in a local preview, September 17, 2026. Missing yarn dimensions are inferred and listed under Geometry inputs &amp; assumptions. These are periodic surface illustrations—not measured textile CAD, solid exports or a mesh-based solver. Effective properties are calculated separately by the selected micromechanics model.</w:t>
      </w:r>
    </w:p>
    <w:p>
      <w:r>
        <w:t>Explore fiber volume</w:t>
      </w:r>
    </w:p>
    <w:p>
      <w:pPr/>
      <w:r>
        <w:rPr>
          <w:b w:val="0"/>
          <w:i w:val="0"/>
        </w:rPr>
        <w:t>Fiber volume</w:t>
      </w:r>
      <w:r>
        <w:t xml:space="preserve">: </w:t>
      </w:r>
      <w:r>
        <w:rPr>
          <w:b w:val="0"/>
          <w:i w:val="0"/>
        </w:rPr>
        <w:t>60</w:t>
      </w:r>
      <w:r>
        <w:rPr>
          <w:b w:val="0"/>
          <w:i w:val="0"/>
        </w:rPr>
        <w:t xml:space="preserve"> </w:t>
      </w:r>
      <w:r>
        <w:rPr>
          <w:b w:val="0"/>
          <w:i w:val="0"/>
        </w:rPr>
        <w:t xml:space="preserve"> </w:t>
      </w:r>
      <w:r>
        <w:rPr>
          <w:b w:val="0"/>
          <w:i w:val="0"/>
        </w:rPr>
        <w:t xml:space="preserve"> </w:t>
      </w:r>
      <w:r>
        <w:rPr>
          <w:b w:val="0"/>
          <w:i w:val="0"/>
        </w:rPr>
        <w:t>%</w:t>
      </w:r>
    </w:p>
    <w:p>
      <w:pPr/>
      <w:r>
        <w:rPr>
          <w:b w:val="0"/>
          <w:i w:val="0"/>
        </w:rPr>
        <w:t>Void volume</w:t>
      </w:r>
      <w:r>
        <w:t xml:space="preserve">: </w:t>
      </w:r>
      <w:r>
        <w:rPr>
          <w:b w:val="0"/>
          <w:i w:val="0"/>
        </w:rPr>
        <w:t>2</w:t>
      </w:r>
      <w:r>
        <w:rPr>
          <w:b w:val="0"/>
          <w:i w:val="0"/>
        </w:rPr>
        <w:t xml:space="preserve"> </w:t>
      </w:r>
      <w:r>
        <w:rPr>
          <w:b w:val="0"/>
          <w:i w:val="0"/>
        </w:rPr>
        <w:t xml:space="preserve"> </w:t>
      </w:r>
      <w:r>
        <w:rPr>
          <w:b w:val="0"/>
          <w:i w:val="0"/>
        </w:rPr>
        <w:t xml:space="preserve"> </w:t>
      </w:r>
      <w:r>
        <w:rPr>
          <w:b w:val="0"/>
          <w:i w:val="0"/>
        </w:rPr>
        <w:t>%</w:t>
      </w:r>
    </w:p>
    <w:p>
      <w:pPr/>
      <w:r>
        <w:rPr>
          <w:b w:val="0"/>
          <w:i w:val="0"/>
        </w:rPr>
        <w:t>Fiber modulus</w:t>
      </w:r>
    </w:p>
    <w:p>
      <w:pPr/>
      <w:r>
        <w:rPr>
          <w:b w:val="0"/>
          <w:i w:val="0"/>
        </w:rPr>
        <w:t>230 GPa</w:t>
      </w:r>
    </w:p>
    <w:p>
      <w:pPr/>
      <w:r>
        <w:rPr>
          <w:b w:val="0"/>
          <w:i w:val="0"/>
        </w:rPr>
        <w:t>Matrix modulus</w:t>
      </w:r>
    </w:p>
    <w:p>
      <w:pPr/>
      <w:r>
        <w:rPr>
          <w:b w:val="0"/>
          <w:i w:val="0"/>
        </w:rPr>
        <w:t>3.5 GPa</w:t>
      </w:r>
    </w:p>
    <w:p>
      <w:pPr/>
      <w:r>
        <w:rPr>
          <w:b w:val="0"/>
          <w:i w:val="0"/>
        </w:rPr>
        <w:t>Matrix volume</w:t>
      </w:r>
    </w:p>
    <w:p>
      <w:pPr/>
      <w:r>
        <w:rPr>
          <w:b w:val="0"/>
          <w:i w:val="0"/>
        </w:rPr>
        <w:t>38</w:t>
      </w:r>
      <w:r>
        <w:rPr>
          <w:b w:val="0"/>
          <w:i w:val="0"/>
        </w:rPr>
        <w:t xml:space="preserve"> </w:t>
      </w:r>
      <w:r>
        <w:rPr>
          <w:b w:val="0"/>
          <w:i w:val="0"/>
        </w:rPr>
        <w:t>%</w:t>
      </w:r>
    </w:p>
    <w:p>
      <w:pPr/>
      <w:r>
        <w:rPr>
          <w:b w:val="0"/>
          <w:i w:val="0"/>
        </w:rPr>
        <w:t>Axial mixture estimate</w:t>
      </w:r>
    </w:p>
    <w:p>
      <w:pPr/>
      <w:r>
        <w:rPr>
          <w:b w:val="0"/>
          <w:i w:val="0"/>
        </w:rPr>
        <w:t>139.33</w:t>
      </w:r>
      <w:r>
        <w:rPr>
          <w:b w:val="0"/>
          <w:i w:val="0"/>
        </w:rPr>
        <w:t xml:space="preserve"> </w:t>
      </w:r>
      <w:r>
        <w:rPr>
          <w:b w:val="0"/>
          <w:i w:val="0"/>
        </w:rPr>
        <w:t xml:space="preserve"> GPa</w:t>
      </w:r>
    </w:p>
    <w:p>
      <w:pPr>
        <w:keepNext w:val="0"/>
        <w:jc w:val="center"/>
      </w:pPr>
      <w:r>
        <w:drawing>
          <wp:inline xmlns:a="http://schemas.openxmlformats.org/drawingml/2006/main" xmlns:pic="http://schemas.openxmlformats.org/drawingml/2006/picture">
            <wp:extent cx="6217920" cy="2908382"/>
            <wp:docPr id="10" name="Picture 10" descr="CDS workflow or model illustration"/>
            <wp:cNvGraphicFramePr>
              <a:graphicFrameLocks noChangeAspect="1"/>
            </wp:cNvGraphicFramePr>
            <a:graphic>
              <a:graphicData uri="http://schemas.openxmlformats.org/drawingml/2006/picture">
                <pic:pic>
                  <pic:nvPicPr>
                    <pic:cNvPr id="0" name="rsvg-a45716a22282829506c916a2115c0f1e3096735264e463b264c209b4bba73a9f.png"/>
                    <pic:cNvPicPr/>
                  </pic:nvPicPr>
                  <pic:blipFill>
                    <a:blip r:embed="rId122"/>
                    <a:stretch>
                      <a:fillRect/>
                    </a:stretch>
                  </pic:blipFill>
                  <pic:spPr>
                    <a:xfrm>
                      <a:off x="0" y="0"/>
                      <a:ext cx="6217920" cy="2908382"/>
                    </a:xfrm>
                    <a:prstGeom prst="rect"/>
                  </pic:spPr>
                </pic:pic>
              </a:graphicData>
            </a:graphic>
          </wp:inline>
        </w:drawing>
      </w:r>
    </w:p>
    <w:p>
      <w:pPr/>
      <w:r>
        <w:rPr>
          <w:b w:val="0"/>
          <w:i w:val="0"/>
        </w:rPr>
        <w:t>Zero-stiffness void phase; no empirical void knockdown or transverse prediction.</w:t>
      </w:r>
    </w:p>
    <w:p>
      <w:pPr/>
      <w:r>
        <w:rPr>
          <w:b w:val="0"/>
          <w:i w:val="0"/>
        </w:rPr>
        <w:t>03.2</w:t>
      </w:r>
      <w:r>
        <w:rPr>
          <w:b w:val="0"/>
          <w:i w:val="0"/>
        </w:rPr>
        <w:t xml:space="preserve"> </w:t>
      </w:r>
      <w:r>
        <w:rPr>
          <w:b w:val="0"/>
          <w:i w:val="0"/>
        </w:rPr>
        <w:t xml:space="preserve"> / Workflow focus</w:t>
      </w:r>
    </w:p>
    <w:p>
      <w:pPr/>
      <w:r>
        <w:rPr>
          <w:b w:val="0"/>
          <w:i w:val="0"/>
        </w:rPr>
        <w:t>Connected engineering record</w:t>
      </w:r>
    </w:p>
    <w:p>
      <w:pPr>
        <w:pStyle w:val="Heading2"/>
      </w:pPr>
      <w:r>
        <w:t>Compatible formulations</w:t>
      </w:r>
    </w:p>
    <w:p>
      <w:pPr/>
      <w:r>
        <w:rPr>
          <w:b w:val="0"/>
          <w:i w:val="0"/>
        </w:rPr>
        <w:t>The Models browser lists rule-of-mixtures variants, Halpin–Tsai, Chamis, Mori–Tanaka, Hashin–Rosen, self-consistent, woven bridging and Cox elastic short-fiber choices. Architecture determines which choices are available.</w:t>
      </w:r>
    </w:p>
    <w:p>
      <w:pPr>
        <w:pStyle w:val="Heading2"/>
      </w:pPr>
      <w:r>
        <w:t>Short-fiber scope</w:t>
      </w:r>
    </w:p>
    <w:p>
      <w:pPr/>
      <w:r>
        <w:rPr>
          <w:b w:val="0"/>
          <w:i w:val="0"/>
        </w:rPr>
        <w:t>Cox shear-lag elastic studies use prescribed geometry and orientation. The event-driven Henry–Pimenta RVE and its stochastic discontinuous-fiber failure route are not enabled in the hosted release.</w:t>
      </w:r>
    </w:p>
    <w:p>
      <w:pPr>
        <w:pStyle w:val="Heading2"/>
      </w:pPr>
      <w:r>
        <w:t>Ply-property handoff</w:t>
      </w:r>
    </w:p>
    <w:p>
      <w:pPr/>
      <w:r>
        <w:rPr>
          <w:b w:val="0"/>
          <w:i w:val="0"/>
        </w:rPr>
        <w:t>The selected Micro recipe supplies reference properties to its linked plies. Shared material or Micro edits can change multiple laminate calculations.</w:t>
      </w:r>
    </w:p>
    <w:p>
      <w:pPr>
        <w:pStyle w:val="Heading2"/>
      </w:pPr>
      <w:r>
        <w:t>Explore and compare</w:t>
      </w:r>
    </w:p>
    <w:p>
      <w:pPr/>
      <w:r>
        <w:rPr>
          <w:b w:val="0"/>
          <w:i w:val="0"/>
        </w:rPr>
        <w:t>Use an exercise or supported property sweep to compare model assumptions, constituent limits and sensitivity. Predicted strengths and teaching defaults are not qualified allowables.</w:t>
      </w:r>
    </w:p>
    <w:p>
      <w:pPr/>
      <w:r>
        <w:rPr>
          <w:b w:val="0"/>
          <w:i w:val="0"/>
        </w:rPr>
        <w:t xml:space="preserve">Workbench availability: </w:t>
      </w:r>
      <w:hyperlink r:id="rId11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3">
        <w:r>
          <w:rPr>
            <w:color w:val="176EA4"/>
          </w:rPr>
          <w:t>Use this workflow in Workbench: interactive Blocks, record selections and connection controls →</w:t>
        </w:r>
      </w:hyperlink>
      <w:r>
        <w:t xml:space="preserve"> </w:t>
      </w:r>
    </w:p>
    <w:p>
      <w:pPr>
        <w:pStyle w:val="Heading2"/>
      </w:pPr>
      <w:r>
        <w:t>Micromechanics released model connections</w:t>
      </w:r>
    </w:p>
    <w:p>
      <w:pPr/>
      <w:r>
        <w:rPr>
          <w:b w:val="0"/>
          <w:i w:val="0"/>
        </w:rPr>
        <w:t xml:space="preserve">Expand a family for inputs, outputs, supported formulations, theory and an exercise. </w:t>
      </w:r>
      <w:hyperlink r:id="rId111">
        <w:r>
          <w:rPr>
            <w:color w:val="176EA4"/>
          </w:rPr>
          <w:t>All model families </w:t>
        </w:r>
      </w:hyperlink>
      <w:r>
        <w:t xml:space="preserve"> </w:t>
      </w:r>
    </w:p>
    <w:p>
      <w:pPr>
        <w:pStyle w:val="Heading3"/>
      </w:pPr>
      <w:r>
        <w:t>Materials micromechanics</w:t>
      </w:r>
    </w:p>
    <w:p>
      <w:pPr/>
      <w:r>
        <w:rPr>
          <w:b w:val="0"/>
          <w:i w:val="0"/>
        </w:rPr>
        <w:t>Design a ply or reinforced feedstock</w:t>
      </w:r>
    </w:p>
    <w:p>
      <w:pPr>
        <w:pStyle w:val="ListBullet"/>
      </w:pPr>
      <w:r>
        <w:rPr>
          <w:b w:val="0"/>
          <w:i w:val="0"/>
        </w:rPr>
        <w:t>Constituents &amp; architecture</w:t>
      </w:r>
    </w:p>
    <w:p>
      <w:pPr>
        <w:pStyle w:val="ListBullet"/>
      </w:pPr>
      <w:r>
        <w:rPr>
          <w:b w:val="0"/>
          <w:i w:val="0"/>
        </w:rPr>
        <w:t>Homogenization</w:t>
      </w:r>
    </w:p>
    <w:p>
      <w:pPr>
        <w:pStyle w:val="ListBullet"/>
      </w:pPr>
      <w:r>
        <w:rPr>
          <w:b w:val="0"/>
          <w:i w:val="0"/>
        </w:rPr>
        <w:t>Ply properties</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Micromechanics</w:t>
      </w:r>
      <w:r>
        <w:rPr>
          <w:b/>
          <w:i w:val="0"/>
        </w:rPr>
        <w:t xml:space="preserve"> </w:t>
      </w:r>
      <w:r>
        <w:rPr>
          <w:b/>
          <w:i w:val="0"/>
        </w:rPr>
        <w:t xml:space="preserve"> </w:t>
      </w:r>
      <w:r>
        <w:rPr>
          <w:b/>
          <w:i w:val="0"/>
        </w:rPr>
        <w:t xml:space="preserve">· </w:t>
      </w:r>
      <w:r>
        <w:rPr>
          <w:b/>
          <w:i w:val="0"/>
        </w:rPr>
        <w:t xml:space="preserve"> </w:t>
      </w:r>
      <w:r>
        <w:rPr>
          <w:b/>
          <w:i w:val="0"/>
        </w:rPr>
        <w:t>9</w:t>
      </w:r>
      <w:r>
        <w:rPr>
          <w:b/>
        </w:rPr>
        <w:t xml:space="preserve"> </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pPr/>
      <w:r>
        <w:rPr>
          <w:b w:val="0"/>
          <w:i w:val="0"/>
        </w:rPr>
        <w:t>One compatible homogenization model per Micro recipe. Use separate recipes for comparisons; they are not combined in a single ply.</w:t>
      </w:r>
    </w:p>
    <w:p>
      <w:hyperlink r:id="rId11">
        <w:r>
          <w:rPr>
            <w:color w:val="176EA4"/>
          </w:rPr>
          <w:t>Theory &amp; limits</w:t>
        </w:r>
      </w:hyperlink>
      <w:r>
        <w:t xml:space="preserve"> </w:t>
      </w:r>
    </w:p>
    <w:p>
      <w:hyperlink r:id="rId12">
        <w:r>
          <w:rPr>
            <w:color w:val="176EA4"/>
          </w:rPr>
          <w:t>Guided exercise </w:t>
        </w:r>
      </w:hyperlink>
      <w:r>
        <w:t xml:space="preserve"> </w:t>
      </w:r>
    </w:p>
    <w:p>
      <w:pPr>
        <w:pStyle w:val="Heading3"/>
      </w:pPr>
      <w:r>
        <w:t>Electromagnetics RF</w:t>
      </w:r>
    </w:p>
    <w:p>
      <w:pPr/>
      <w:r>
        <w:rPr>
          <w:b w:val="0"/>
          <w:i w:val="0"/>
        </w:rPr>
        <w:t>Design dielectric mixtures, shielding and periodic layers</w:t>
      </w:r>
    </w:p>
    <w:p>
      <w:pPr>
        <w:pStyle w:val="ListBullet"/>
      </w:pPr>
      <w:r>
        <w:rPr>
          <w:b w:val="0"/>
          <w:i w:val="0"/>
        </w:rPr>
        <w:t>Electrical properties &amp; layers</w:t>
      </w:r>
    </w:p>
    <w:p>
      <w:pPr>
        <w:pStyle w:val="ListBullet"/>
      </w:pPr>
      <w:r>
        <w:rPr>
          <w:b w:val="0"/>
          <w:i w:val="0"/>
        </w:rPr>
        <w:t>Effective medium / wave propagation</w:t>
      </w:r>
    </w:p>
    <w:p>
      <w:pPr>
        <w:pStyle w:val="ListBullet"/>
      </w:pPr>
      <w:r>
        <w:rPr>
          <w:b w:val="0"/>
          <w:i w:val="0"/>
        </w:rPr>
        <w:t>Permittivity &amp; RF response</w:t>
      </w:r>
    </w:p>
    <w:p>
      <w:pPr>
        <w:keepNext/>
      </w:pPr>
      <w:r>
        <w:rPr>
          <w:b/>
          <w:i w:val="0"/>
        </w:rPr>
        <w:t xml:space="preserve">Explore </w:t>
      </w:r>
      <w:r>
        <w:rPr>
          <w:b/>
          <w:i w:val="0"/>
        </w:rPr>
        <w:t xml:space="preserve"> </w:t>
      </w:r>
      <w:r>
        <w:rPr>
          <w:b/>
          <w:i w:val="0"/>
        </w:rPr>
        <w:t>9</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Wiener series and parallel</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Wiener series and parallel</w:t>
      </w:r>
    </w:p>
    <w:p>
      <w:pPr/>
      <w:r>
        <w:rPr>
          <w:b w:val="0"/>
          <w:i w:val="0"/>
        </w:rPr>
        <w:t>Positive lossless dielectric bounds; complex directional estimates.</w:t>
      </w:r>
    </w:p>
    <w:p>
      <w:hyperlink r:id="rId75">
        <w:r>
          <w:rPr>
            <w:color w:val="176EA4"/>
          </w:rPr>
          <w:t>Theory &amp; limits</w:t>
        </w:r>
      </w:hyperlink>
      <w:r>
        <w:t xml:space="preserve"> </w:t>
      </w:r>
    </w:p>
    <w:p>
      <w:hyperlink r:id="rId76">
        <w:r>
          <w:rPr>
            <w:color w:val="176EA4"/>
          </w:rPr>
          <w:t>Guided exercise </w:t>
        </w:r>
      </w:hyperlink>
      <w:r>
        <w:t xml:space="preserve"> </w:t>
      </w:r>
    </w:p>
    <w:p>
      <w:pPr>
        <w:keepNext/>
      </w:pPr>
      <w:r>
        <w:rPr>
          <w:b/>
          <w:i w:val="0"/>
        </w:rPr>
        <w:t>Looyenga / Landau–Lifshitz–Looyenga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Looyenga / Landau–Lifshitz–Looyenga</w:t>
      </w:r>
    </w:p>
    <w:p>
      <w:pPr/>
      <w:r>
        <w:rPr>
          <w:b w:val="0"/>
          <w:i w:val="0"/>
        </w:rPr>
        <w:t>One cube-root mixing law, not two independent models.</w:t>
      </w:r>
    </w:p>
    <w:p>
      <w:hyperlink r:id="rId77">
        <w:r>
          <w:rPr>
            <w:color w:val="176EA4"/>
          </w:rPr>
          <w:t>Theory &amp; limits</w:t>
        </w:r>
      </w:hyperlink>
      <w:r>
        <w:t xml:space="preserve"> </w:t>
      </w:r>
    </w:p>
    <w:p>
      <w:hyperlink r:id="rId78">
        <w:r>
          <w:rPr>
            <w:color w:val="176EA4"/>
          </w:rPr>
          <w:t>Guided exercise </w:t>
        </w:r>
      </w:hyperlink>
      <w:r>
        <w:t xml:space="preserve"> </w:t>
      </w:r>
    </w:p>
    <w:p>
      <w:pPr>
        <w:keepNext/>
      </w:pPr>
      <w:r>
        <w:rPr>
          <w:b/>
          <w:i w:val="0"/>
        </w:rPr>
        <w:t>Maxwell–Garnett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Maxwell–Garnett</w:t>
      </w:r>
    </w:p>
    <w:p>
      <w:pPr/>
      <w:r>
        <w:rPr>
          <w:b w:val="0"/>
          <w:i w:val="0"/>
        </w:rPr>
        <w:t>Dilute subwavelength spherical inclusions in a host.</w:t>
      </w:r>
    </w:p>
    <w:p>
      <w:hyperlink r:id="rId79">
        <w:r>
          <w:rPr>
            <w:color w:val="176EA4"/>
          </w:rPr>
          <w:t>Theory &amp; limits</w:t>
        </w:r>
      </w:hyperlink>
      <w:r>
        <w:t xml:space="preserve"> </w:t>
      </w:r>
    </w:p>
    <w:p>
      <w:hyperlink r:id="rId80">
        <w:r>
          <w:rPr>
            <w:color w:val="176EA4"/>
          </w:rPr>
          <w:t>Guided exercise </w:t>
        </w:r>
      </w:hyperlink>
      <w:r>
        <w:t xml:space="preserve"> </w:t>
      </w:r>
    </w:p>
    <w:p>
      <w:pPr>
        <w:keepNext/>
      </w:pPr>
      <w:r>
        <w:rPr>
          <w:b/>
          <w:i w:val="0"/>
        </w:rPr>
        <w:t>Bruggeman symmetric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Bruggeman symmetric EMT</w:t>
      </w:r>
    </w:p>
    <w:p>
      <w:pPr/>
      <w:r>
        <w:rPr>
          <w:b w:val="0"/>
          <w:i w:val="0"/>
        </w:rPr>
        <w:t>Two positive-permittivity phases; no explicit contact network.</w:t>
      </w:r>
    </w:p>
    <w:p>
      <w:hyperlink r:id="rId83">
        <w:r>
          <w:rPr>
            <w:color w:val="176EA4"/>
          </w:rPr>
          <w:t>Theory &amp; limits</w:t>
        </w:r>
      </w:hyperlink>
      <w:r>
        <w:t xml:space="preserve"> </w:t>
      </w:r>
    </w:p>
    <w:p>
      <w:hyperlink r:id="rId84">
        <w:r>
          <w:rPr>
            <w:color w:val="176EA4"/>
          </w:rPr>
          <w:t>Guided exercise </w:t>
        </w:r>
      </w:hyperlink>
      <w:r>
        <w:t xml:space="preserve"> </w:t>
      </w:r>
    </w:p>
    <w:p>
      <w:pPr>
        <w:keepNext/>
      </w:pPr>
      <w:r>
        <w:rPr>
          <w:b/>
          <w:i w:val="0"/>
        </w:rPr>
        <w:t>EM Mori–Tanaka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Mori–Tanaka</w:t>
      </w:r>
    </w:p>
    <w:p>
      <w:pPr/>
      <w:r>
        <w:rPr>
          <w:b w:val="0"/>
          <w:i w:val="0"/>
        </w:rPr>
        <w:t>Scalar principal-axis ellipsoidal field approximation.</w:t>
      </w:r>
    </w:p>
    <w:p>
      <w:hyperlink r:id="rId85">
        <w:r>
          <w:rPr>
            <w:color w:val="176EA4"/>
          </w:rPr>
          <w:t>Theory &amp; limits</w:t>
        </w:r>
      </w:hyperlink>
      <w:r>
        <w:t xml:space="preserve"> </w:t>
      </w:r>
    </w:p>
    <w:p>
      <w:hyperlink r:id="rId86">
        <w:r>
          <w:rPr>
            <w:color w:val="176EA4"/>
          </w:rPr>
          <w:t>Guided exercise </w:t>
        </w:r>
      </w:hyperlink>
      <w:r>
        <w:t xml:space="preserve"> </w:t>
      </w:r>
    </w:p>
    <w:p>
      <w:pPr>
        <w:keepNext/>
      </w:pPr>
      <w:r>
        <w:rPr>
          <w:b/>
          <w:i w:val="0"/>
        </w:rPr>
        <w:t>EM self-consistent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self-consistent</w:t>
      </w:r>
    </w:p>
    <w:p>
      <w:pPr/>
      <w:r>
        <w:rPr>
          <w:b w:val="0"/>
          <w:i w:val="0"/>
        </w:rPr>
        <w:t>Scalar principal-axis self-consistency; spherical case equals Bruggeman.</w:t>
      </w:r>
    </w:p>
    <w:p>
      <w:hyperlink r:id="rId87">
        <w:r>
          <w:rPr>
            <w:color w:val="176EA4"/>
          </w:rPr>
          <w:t>Theory &amp; limits</w:t>
        </w:r>
      </w:hyperlink>
      <w:r>
        <w:t xml:space="preserve"> </w:t>
      </w:r>
    </w:p>
    <w:p>
      <w:hyperlink r:id="rId88">
        <w:r>
          <w:rPr>
            <w:color w:val="176EA4"/>
          </w:rPr>
          <w:t>Guided exercise </w:t>
        </w:r>
      </w:hyperlink>
      <w:r>
        <w:t xml:space="preserve"> </w:t>
      </w:r>
    </w:p>
    <w:p>
      <w:pPr>
        <w:keepNext/>
      </w:pPr>
      <w:r>
        <w:rPr>
          <w:b/>
          <w:i w:val="0"/>
        </w:rPr>
        <w:t>Differential effective medium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Differential effective medium</w:t>
      </w:r>
    </w:p>
    <w:p>
      <w:pPr/>
      <w:r>
        <w:rPr>
          <w:b w:val="0"/>
          <w:i w:val="0"/>
        </w:rPr>
        <w:t>Incremental mixing with time-step refinement check.</w:t>
      </w:r>
    </w:p>
    <w:p>
      <w:hyperlink r:id="rId89">
        <w:r>
          <w:rPr>
            <w:color w:val="176EA4"/>
          </w:rPr>
          <w:t>Theory &amp; limits</w:t>
        </w:r>
      </w:hyperlink>
      <w:r>
        <w:t xml:space="preserve"> </w:t>
      </w:r>
    </w:p>
    <w:p>
      <w:hyperlink r:id="rId90">
        <w:r>
          <w:rPr>
            <w:color w:val="176EA4"/>
          </w:rPr>
          <w:t>Guided exercise </w:t>
        </w:r>
      </w:hyperlink>
      <w:r>
        <w:t xml:space="preserve"> </w:t>
      </w:r>
    </w:p>
    <w:p>
      <w:pPr>
        <w:keepNext/>
      </w:pPr>
      <w:r>
        <w:rPr>
          <w:b/>
          <w:i w:val="0"/>
        </w:rPr>
        <w:t>Coated sphere and interphase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Coated sphere and interphase</w:t>
      </w:r>
    </w:p>
    <w:p>
      <w:pPr/>
      <w:r>
        <w:rPr>
          <w:b w:val="0"/>
          <w:i w:val="0"/>
        </w:rPr>
        <w:t>Concentric subwavelength coated spheres; no dynamic Mie scattering.</w:t>
      </w:r>
    </w:p>
    <w:p>
      <w:hyperlink r:id="rId91">
        <w:r>
          <w:rPr>
            <w:color w:val="176EA4"/>
          </w:rPr>
          <w:t>Theory &amp; limits</w:t>
        </w:r>
      </w:hyperlink>
      <w:r>
        <w:t xml:space="preserve"> </w:t>
      </w:r>
    </w:p>
    <w:p>
      <w:hyperlink r:id="rId92">
        <w:r>
          <w:rPr>
            <w:color w:val="176EA4"/>
          </w:rPr>
          <w:t>Guided exercise </w:t>
        </w:r>
      </w:hyperlink>
      <w:r>
        <w:t xml:space="preserve"> </w:t>
      </w:r>
    </w:p>
    <w:p>
      <w:pPr>
        <w:keepNext/>
      </w:pPr>
      <w:r>
        <w:rPr>
          <w:b/>
          <w:i w:val="0"/>
        </w:rPr>
        <w:t>Generalized multiphase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Generalized multiphase EMT</w:t>
      </w:r>
    </w:p>
    <w:p>
      <w:pPr/>
      <w:r>
        <w:rPr>
          <w:b w:val="0"/>
          <w:i w:val="0"/>
        </w:rPr>
        <w:t>Spherical multiphase Bruggeman with convergence checks.</w:t>
      </w:r>
    </w:p>
    <w:p>
      <w:hyperlink r:id="rId93">
        <w:r>
          <w:rPr>
            <w:color w:val="176EA4"/>
          </w:rPr>
          <w:t>Theory &amp; limits</w:t>
        </w:r>
      </w:hyperlink>
      <w:r>
        <w:t xml:space="preserve"> </w:t>
      </w:r>
    </w:p>
    <w:p>
      <w:hyperlink r:id="rId94">
        <w:r>
          <w:rPr>
            <w:color w:val="176EA4"/>
          </w:rPr>
          <w:t>Guided exercise </w:t>
        </w:r>
      </w:hyperlink>
      <w:r>
        <w:t xml:space="preserve"> </w:t>
      </w:r>
    </w:p>
    <w:p>
      <w:hyperlink r:id="rId116">
        <w:r>
          <w:rPr>
            <w:color w:val="176EA4"/>
          </w:rPr>
          <w:t>Next workflow page 03.3 Laminates →</w:t>
        </w:r>
      </w:hyperlink>
      <w:r>
        <w:t xml:space="preserve"> </w:t>
      </w:r>
    </w:p>
    <w:p>
      <w:bookmarkStart w:id="8" w:name="chapter_8"/>
      <w:pPr>
        <w:pStyle w:val="Heading1"/>
        <w:pageBreakBefore/>
      </w:pPr>
      <w:r>
        <w:t>8 Models you can use Connections you can follow</w:t>
      </w:r>
      <w:bookmarkEnd w:id="8"/>
    </w:p>
    <w:p>
      <w:pPr>
        <w:pStyle w:val="Caption"/>
      </w:pPr>
      <w:hyperlink r:id="rId111">
        <w:r>
          <w:rPr>
            <w:color w:val="176EA4"/>
          </w:rPr>
          <w:t>Online chapter</w:t>
        </w:r>
      </w:hyperlink>
      <w:r>
        <w:t xml:space="preserve"> </w:t>
      </w:r>
    </w:p>
    <w:p>
      <w:pPr/>
      <w:r>
        <w:rPr>
          <w:b w:val="0"/>
          <w:i w:val="0"/>
        </w:rPr>
        <w:t>The released Workbench model set, grouped by engineering purpose. Open a family for its tree location, inputs, outputs, theory and guided exercise. Availability also depends on your license.</w:t>
      </w:r>
    </w:p>
    <w:p>
      <w:pPr>
        <w:pStyle w:val="Heading2"/>
      </w:pPr>
      <w:r>
        <w:t>42 model families in the released Workbench</w:t>
      </w:r>
    </w:p>
    <w:p>
      <w:pPr/>
      <w:r>
        <w:rPr>
          <w:b w:val="0"/>
          <w:i w:val="0"/>
        </w:rPr>
        <w:t>Choose a formulation in Models, edit its linked source record, connect required inputs in Simulation, then watch a quick workflow update or press Run. Tree nesting shows related methods—not permission to combine every method in one solve. A completed calculation is not a validated design pass.</w:t>
      </w:r>
    </w:p>
    <w:p>
      <w:pPr>
        <w:keepNext/>
      </w:pPr>
      <w:r>
        <w:rPr>
          <w:b/>
          <w:i w:val="0"/>
        </w:rPr>
        <w:t>Live updates or Run?</w:t>
      </w:r>
    </w:p>
    <w:p>
      <w:pPr/>
      <w:r>
        <w:rPr>
          <w:b w:val="0"/>
          <w:i w:val="0"/>
        </w:rPr>
        <w:t>Small compatible workflows refresh after editing pauses, using the current connected materials, Micro, laminate and case inputs. Larger sampling, mode searches, mesh calculations and process histories require Run after upstream changes. Workbench also switches a workload to Run when measured solver time exceeds its live budget; it never reduces numerical accuracy to stay live.</w:t>
      </w:r>
    </w:p>
    <w:p>
      <w:pPr/>
      <w:r>
        <w:rPr>
          <w:b w:val="0"/>
          <w:i w:val="0"/>
        </w:rPr>
        <w:t>The Solver control shows Live updates or Run required and can pause automatic updates. Hidden tabs do not start background refreshes. Superseded results are discarded, and all automatic runs retain the same model and license checks. Fast reference-state studies remain separate studies: live scheduling does not create new physical coupling.</w:t>
      </w:r>
    </w:p>
    <w:p>
      <w:pPr>
        <w:pStyle w:val="Heading3"/>
      </w:pPr>
      <w:r>
        <w:t>Materials micromechanics</w:t>
      </w:r>
    </w:p>
    <w:p>
      <w:pPr/>
      <w:r>
        <w:rPr>
          <w:b w:val="0"/>
          <w:i w:val="0"/>
        </w:rPr>
        <w:t>Design a ply or reinforced feedstock</w:t>
      </w:r>
    </w:p>
    <w:p>
      <w:pPr>
        <w:pStyle w:val="ListBullet"/>
      </w:pPr>
      <w:r>
        <w:rPr>
          <w:b w:val="0"/>
          <w:i w:val="0"/>
        </w:rPr>
        <w:t>Constituents &amp; architecture</w:t>
      </w:r>
    </w:p>
    <w:p>
      <w:pPr>
        <w:pStyle w:val="ListBullet"/>
      </w:pPr>
      <w:r>
        <w:rPr>
          <w:b w:val="0"/>
          <w:i w:val="0"/>
        </w:rPr>
        <w:t>Homogenization</w:t>
      </w:r>
    </w:p>
    <w:p>
      <w:pPr>
        <w:pStyle w:val="ListBullet"/>
      </w:pPr>
      <w:r>
        <w:rPr>
          <w:b w:val="0"/>
          <w:i w:val="0"/>
        </w:rPr>
        <w:t>Ply properties</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Micromechanics</w:t>
      </w:r>
      <w:r>
        <w:rPr>
          <w:b/>
          <w:i w:val="0"/>
        </w:rPr>
        <w:t xml:space="preserve"> </w:t>
      </w:r>
      <w:r>
        <w:rPr>
          <w:b/>
          <w:i w:val="0"/>
        </w:rPr>
        <w:t xml:space="preserve"> </w:t>
      </w:r>
      <w:r>
        <w:rPr>
          <w:b/>
          <w:i w:val="0"/>
        </w:rPr>
        <w:t xml:space="preserve">· </w:t>
      </w:r>
      <w:r>
        <w:rPr>
          <w:b/>
          <w:i w:val="0"/>
        </w:rPr>
        <w:t xml:space="preserve"> </w:t>
      </w:r>
      <w:r>
        <w:rPr>
          <w:b/>
          <w:i w:val="0"/>
        </w:rPr>
        <w:t>9</w:t>
      </w:r>
      <w:r>
        <w:rPr>
          <w:b/>
        </w:rPr>
        <w:t xml:space="preserve"> </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pPr/>
      <w:r>
        <w:rPr>
          <w:b w:val="0"/>
          <w:i w:val="0"/>
        </w:rPr>
        <w:t>One compatible homogenization model per Micro recipe. Use separate recipes for comparisons; they are not combined in a single ply.</w:t>
      </w:r>
    </w:p>
    <w:p>
      <w:hyperlink r:id="rId11">
        <w:r>
          <w:rPr>
            <w:color w:val="176EA4"/>
          </w:rPr>
          <w:t>Theory &amp; limits</w:t>
        </w:r>
      </w:hyperlink>
      <w:r>
        <w:t xml:space="preserve"> </w:t>
      </w:r>
    </w:p>
    <w:p>
      <w:hyperlink r:id="rId12">
        <w:r>
          <w:rPr>
            <w:color w:val="176EA4"/>
          </w:rPr>
          <w:t>Guided exercise </w:t>
        </w:r>
      </w:hyperlink>
      <w:r>
        <w:t xml:space="preserve"> </w:t>
      </w:r>
    </w:p>
    <w:p>
      <w:pPr>
        <w:pStyle w:val="Heading3"/>
      </w:pPr>
      <w:r>
        <w:t>Heat moisture manufacturing</w:t>
      </w:r>
    </w:p>
    <w:p>
      <w:pPr/>
      <w:r>
        <w:rPr>
          <w:b w:val="0"/>
          <w:i w:val="0"/>
        </w:rPr>
        <w:t>Cure, pultrusion, conditioning and tool release</w:t>
      </w:r>
    </w:p>
    <w:p>
      <w:pPr>
        <w:pStyle w:val="ListBullet"/>
      </w:pPr>
      <w:r>
        <w:rPr>
          <w:b w:val="0"/>
          <w:i w:val="0"/>
        </w:rPr>
        <w:t>Material laws &amp; boundary cycles</w:t>
      </w:r>
    </w:p>
    <w:p>
      <w:pPr>
        <w:pStyle w:val="ListBullet"/>
      </w:pPr>
      <w:r>
        <w:rPr>
          <w:b w:val="0"/>
          <w:i w:val="0"/>
        </w:rPr>
        <w:t>Transport &amp; reaction</w:t>
      </w:r>
    </w:p>
    <w:p>
      <w:pPr>
        <w:pStyle w:val="ListBullet"/>
      </w:pPr>
      <w:r>
        <w:rPr>
          <w:b w:val="0"/>
          <w:i w:val="0"/>
        </w:rPr>
        <w:t>History &amp; compatible process fields</w:t>
      </w:r>
    </w:p>
    <w:p>
      <w:pPr>
        <w:keepNext/>
      </w:pPr>
      <w:r>
        <w:rPr>
          <w:b/>
          <w:i w:val="0"/>
        </w:rPr>
        <w:t xml:space="preserve">Explore </w:t>
      </w:r>
      <w:r>
        <w:rPr>
          <w:b/>
          <w:i w:val="0"/>
        </w:rPr>
        <w:t xml:space="preserve"> </w:t>
      </w:r>
      <w:r>
        <w:rPr>
          <w:b/>
          <w:i w:val="0"/>
        </w:rPr>
        <w:t>4</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14</w:t>
      </w:r>
      <w:r>
        <w:rPr>
          <w:b/>
          <w:i w:val="0"/>
        </w:rPr>
        <w:t xml:space="preserve"> </w:t>
      </w:r>
      <w:r>
        <w:rPr>
          <w:b/>
          <w:i w:val="0"/>
        </w:rPr>
        <w:t xml:space="preserve"> model choices</w:t>
      </w:r>
    </w:p>
    <w:p>
      <w:pPr>
        <w:keepNext/>
      </w:pPr>
      <w:r>
        <w:rPr>
          <w:b/>
          <w:i w:val="0"/>
        </w:rPr>
        <w:t>Cure, crystallization &amp; material transport</w:t>
      </w:r>
      <w:r>
        <w:rPr>
          <w:b/>
          <w:i w:val="0"/>
        </w:rPr>
        <w:t xml:space="preserve"> </w:t>
      </w:r>
      <w:r>
        <w:rPr>
          <w:b/>
          <w:i w:val="0"/>
        </w:rPr>
        <w:t xml:space="preserve"> </w:t>
      </w:r>
      <w:r>
        <w:rPr>
          <w:b/>
          <w:i w:val="0"/>
        </w:rPr>
        <w:t xml:space="preserve">· </w:t>
      </w:r>
      <w:r>
        <w:rPr>
          <w:b/>
          <w:i w:val="0"/>
        </w:rPr>
        <w:t xml:space="preserve"> </w:t>
      </w:r>
      <w:r>
        <w:rPr>
          <w:b/>
          <w:i w:val="0"/>
        </w:rPr>
        <w:t>8</w:t>
      </w:r>
      <w:r>
        <w:rPr>
          <w:b/>
        </w:rPr>
        <w:t xml:space="preserve"> </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pPr/>
      <w:r>
        <w:rPr>
          <w:b w:val="0"/>
          <w:i w:val="0"/>
        </w:rPr>
        <w:t>Independent model records can be linked together through material inputs. A saved model must be assigned to a material before it contributes to a simulation.</w:t>
      </w:r>
    </w:p>
    <w:p>
      <w:hyperlink r:id="rId13">
        <w:r>
          <w:rPr>
            <w:color w:val="176EA4"/>
          </w:rPr>
          <w:t>Theory &amp; limits</w:t>
        </w:r>
      </w:hyperlink>
      <w:r>
        <w:t xml:space="preserve"> </w:t>
      </w:r>
    </w:p>
    <w:p>
      <w:hyperlink r:id="rId14">
        <w:r>
          <w:rPr>
            <w:color w:val="176EA4"/>
          </w:rPr>
          <w:t>Guided exercise </w:t>
        </w:r>
      </w:hyperlink>
      <w:r>
        <w:t xml:space="preserve"> </w:t>
      </w:r>
    </w:p>
    <w:p>
      <w:pPr/>
      <w:r>
        <w:rPr>
          <w:b w:val="0"/>
          <w:i w:val="0"/>
        </w:rPr>
        <w:t xml:space="preserve"> · </w:t>
      </w:r>
      <w:hyperlink r:id="rId15">
        <w:r>
          <w:rPr>
            <w:color w:val="176EA4"/>
          </w:rPr>
          <w:t>Cure kinetics</w:t>
        </w:r>
      </w:hyperlink>
      <w:r>
        <w:t xml:space="preserve"> </w:t>
      </w:r>
    </w:p>
    <w:p>
      <w:pPr/>
      <w:r>
        <w:rPr>
          <w:b w:val="0"/>
          <w:i w:val="0"/>
        </w:rPr>
        <w:t xml:space="preserve"> · </w:t>
      </w:r>
      <w:hyperlink r:id="rId16">
        <w:r>
          <w:rPr>
            <w:color w:val="176EA4"/>
          </w:rPr>
          <w:t>Crystallization kinetics</w:t>
        </w:r>
      </w:hyperlink>
      <w:r>
        <w:t xml:space="preserve"> </w:t>
      </w:r>
    </w:p>
    <w:p>
      <w:pPr>
        <w:keepNext/>
      </w:pPr>
      <w:r>
        <w:rPr>
          <w:b/>
          <w:i w:val="0"/>
        </w:rPr>
        <w:t>Thermal transport</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pPr/>
      <w:r>
        <w:rPr>
          <w:b w:val="0"/>
          <w:i w:val="0"/>
        </w:rPr>
        <w:t>One transport formulation per thermal case. Select its laminate and configure its own initial conditions and surface cycle; pultrusion additionally requires a distance-based die schedule and pulling velocity.</w:t>
      </w:r>
    </w:p>
    <w:p>
      <w:hyperlink r:id="rId17">
        <w:r>
          <w:rPr>
            <w:color w:val="176EA4"/>
          </w:rPr>
          <w:t>Theory &amp; limits</w:t>
        </w:r>
      </w:hyperlink>
      <w:r>
        <w:t xml:space="preserve"> </w:t>
      </w:r>
    </w:p>
    <w:p>
      <w:hyperlink r:id="rId18">
        <w:r>
          <w:rPr>
            <w:color w:val="176EA4"/>
          </w:rPr>
          <w:t>Guided exercise </w:t>
        </w:r>
      </w:hyperlink>
      <w:r>
        <w:t xml:space="preserve"> </w:t>
      </w:r>
    </w:p>
    <w:p>
      <w:pPr/>
      <w:r>
        <w:rPr>
          <w:b w:val="0"/>
          <w:i w:val="0"/>
        </w:rPr>
        <w:t xml:space="preserve"> · </w:t>
      </w:r>
      <w:hyperlink r:id="rId19">
        <w:r>
          <w:rPr>
            <w:color w:val="176EA4"/>
          </w:rPr>
          <w:t>Pultrusion exercise</w:t>
        </w:r>
      </w:hyperlink>
      <w:r>
        <w:t xml:space="preserve"> </w:t>
      </w:r>
    </w:p>
    <w:p>
      <w:pPr/>
      <w:r>
        <w:rPr>
          <w:b w:val="0"/>
          <w:i w:val="0"/>
        </w:rPr>
        <w:t xml:space="preserve"> · </w:t>
      </w:r>
      <w:hyperlink r:id="rId20">
        <w:r>
          <w:rPr>
            <w:color w:val="176EA4"/>
          </w:rPr>
          <w:t>UV cure exercise</w:t>
        </w:r>
      </w:hyperlink>
      <w:r>
        <w:t xml:space="preserve"> </w:t>
      </w:r>
    </w:p>
    <w:p>
      <w:pPr>
        <w:keepNext/>
      </w:pPr>
      <w:r>
        <w:rPr>
          <w:b/>
          <w:i w:val="0"/>
        </w:rPr>
        <w:t>Moisture transport</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pStyle w:val="ListBullet"/>
      </w:pPr>
      <w:r>
        <w:rPr>
          <w:b w:val="0"/>
          <w:i w:val="0"/>
        </w:rPr>
        <w:t>1D transient moisture diffusion</w:t>
      </w:r>
    </w:p>
    <w:p>
      <w:pPr>
        <w:pStyle w:val="ListBullet"/>
      </w:pPr>
      <w:r>
        <w:rPr>
          <w:b w:val="0"/>
          <w:i w:val="0"/>
        </w:rPr>
        <w:t>1D steady-state moisture diffusion</w:t>
      </w:r>
    </w:p>
    <w:p>
      <w:pPr/>
      <w:r>
        <w:rPr>
          <w:b w:val="0"/>
          <w:i w:val="0"/>
        </w:rPr>
        <w:t>One formulation per moisture analysis. Thermal and moisture analyses can both be linked in Simulation; each needs its own boundary conditions.</w:t>
      </w:r>
    </w:p>
    <w:p>
      <w:hyperlink r:id="rId21">
        <w:r>
          <w:rPr>
            <w:color w:val="176EA4"/>
          </w:rPr>
          <w:t>Theory &amp; limits</w:t>
        </w:r>
      </w:hyperlink>
      <w:r>
        <w:t xml:space="preserve"> </w:t>
      </w:r>
    </w:p>
    <w:p>
      <w:hyperlink r:id="rId22">
        <w:r>
          <w:rPr>
            <w:color w:val="176EA4"/>
          </w:rPr>
          <w:t>Guided exercise </w:t>
        </w:r>
      </w:hyperlink>
      <w:r>
        <w:t xml:space="preserve"> </w:t>
      </w:r>
    </w:p>
    <w:p>
      <w:pPr>
        <w:keepNext/>
      </w:pPr>
      <w:r>
        <w:rPr>
          <w:b/>
          <w:i w:val="0"/>
        </w:rPr>
        <w:t>Tool-release shape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pStyle w:val="ListBullet"/>
      </w:pPr>
      <w:r>
        <w:rPr>
          <w:b w:val="0"/>
          <w:i w:val="0"/>
        </w:rPr>
        <w:t>Free-release eigenstrain &amp; spring-in</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23">
        <w:r>
          <w:rPr>
            <w:color w:val="176EA4"/>
          </w:rPr>
          <w:t>Theory &amp; limits</w:t>
        </w:r>
      </w:hyperlink>
      <w:r>
        <w:t xml:space="preserve"> </w:t>
      </w:r>
    </w:p>
    <w:p>
      <w:hyperlink r:id="rId24">
        <w:r>
          <w:rPr>
            <w:color w:val="176EA4"/>
          </w:rPr>
          <w:t>Guided exercise </w:t>
        </w:r>
      </w:hyperlink>
      <w:r>
        <w:t xml:space="preserve"> </w:t>
      </w:r>
    </w:p>
    <w:p>
      <w:pPr>
        <w:pStyle w:val="Heading3"/>
      </w:pPr>
      <w:r>
        <w:t>Structural mechanics</w:t>
      </w:r>
    </w:p>
    <w:p>
      <w:pPr/>
      <w:r>
        <w:rPr>
          <w:b w:val="0"/>
          <w:i w:val="0"/>
        </w:rPr>
        <w:t>Size plates, beams, shells, sandwich panels and joints</w:t>
      </w:r>
    </w:p>
    <w:p>
      <w:pPr>
        <w:pStyle w:val="ListBullet"/>
      </w:pPr>
      <w:r>
        <w:rPr>
          <w:b w:val="0"/>
          <w:i w:val="0"/>
        </w:rPr>
        <w:t>Laminate &amp; geometry</w:t>
      </w:r>
    </w:p>
    <w:p>
      <w:pPr>
        <w:pStyle w:val="ListBullet"/>
      </w:pPr>
      <w:r>
        <w:rPr>
          <w:b w:val="0"/>
          <w:i w:val="0"/>
        </w:rPr>
        <w:t>Load response / stability</w:t>
      </w:r>
    </w:p>
    <w:p>
      <w:pPr>
        <w:pStyle w:val="ListBullet"/>
      </w:pPr>
      <w:r>
        <w:rPr>
          <w:b w:val="0"/>
          <w:i w:val="0"/>
        </w:rPr>
        <w:t>Displacements, stresses &amp; modes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17</w:t>
      </w:r>
      <w:r>
        <w:rPr>
          <w:b/>
          <w:i w:val="0"/>
        </w:rPr>
        <w:t xml:space="preserve"> </w:t>
      </w:r>
      <w:r>
        <w:rPr>
          <w:b/>
          <w:i w:val="0"/>
        </w:rPr>
        <w:t xml:space="preserve"> model choices</w:t>
      </w:r>
    </w:p>
    <w:p>
      <w:pPr>
        <w:keepNext/>
      </w:pPr>
      <w:r>
        <w:rPr>
          <w:b/>
          <w:i w:val="0"/>
        </w:rPr>
        <w:t>Plate · CLT &amp; FSDT</w:t>
      </w:r>
      <w:r>
        <w:rPr>
          <w:b/>
          <w:i w:val="0"/>
        </w:rPr>
        <w:t xml:space="preserve"> </w:t>
      </w:r>
      <w:r>
        <w:rPr>
          <w:b/>
          <w:i w:val="0"/>
        </w:rPr>
        <w:t xml:space="preserve"> </w:t>
      </w:r>
      <w:r>
        <w:rPr>
          <w:b/>
          <w:i w:val="0"/>
        </w:rPr>
        <w:t xml:space="preserve">· </w:t>
      </w:r>
      <w:r>
        <w:rPr>
          <w:b/>
          <w:i w:val="0"/>
        </w:rPr>
        <w:t xml:space="preserve"> </w:t>
      </w:r>
      <w:r>
        <w:rPr>
          <w:b/>
          <w:i w:val="0"/>
        </w:rPr>
        <w:t>6</w:t>
      </w:r>
      <w:r>
        <w:rPr>
          <w:b/>
        </w:rPr>
        <w:t xml:space="preserve"> </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pPr/>
      <w:r>
        <w:rPr>
          <w:b w:val="0"/>
          <w:i w:val="0"/>
        </w:rPr>
        <w:t>Choose a formulation and study. Buckling and modal can be requested together; static bending requires FSDT. These are reference-elastic studies, separate from coupled process or progressive failure.</w:t>
      </w:r>
    </w:p>
    <w:p>
      <w:hyperlink r:id="rId25">
        <w:r>
          <w:rPr>
            <w:color w:val="176EA4"/>
          </w:rPr>
          <w:t>Theory &amp; limits</w:t>
        </w:r>
      </w:hyperlink>
      <w:r>
        <w:t xml:space="preserve"> </w:t>
      </w:r>
    </w:p>
    <w:p>
      <w:hyperlink r:id="rId26">
        <w:r>
          <w:rPr>
            <w:color w:val="176EA4"/>
          </w:rPr>
          <w:t>Guided exercise </w:t>
        </w:r>
      </w:hyperlink>
      <w:r>
        <w:t xml:space="preserve"> </w:t>
      </w:r>
    </w:p>
    <w:p>
      <w:pPr>
        <w:keepNext/>
      </w:pPr>
      <w:r>
        <w:rPr>
          <w:b/>
          <w:i w:val="0"/>
        </w:rPr>
        <w:t>Cylinder</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pStyle w:val="ListBullet"/>
      </w:pPr>
      <w:r>
        <w:rPr>
          <w:b w:val="0"/>
          <w:i w:val="0"/>
        </w:rPr>
        <w:t>Linear thin-wall membrane</w:t>
      </w:r>
    </w:p>
    <w:p>
      <w:pPr>
        <w:pStyle w:val="ListBullet"/>
      </w:pPr>
      <w:r>
        <w:rPr>
          <w:b w:val="0"/>
          <w:i w:val="0"/>
        </w:rPr>
        <w:t>Layerwise thick-wall elasticity</w:t>
      </w:r>
    </w:p>
    <w:p>
      <w:pPr/>
      <w:r>
        <w:rPr>
          <w:b w:val="0"/>
          <w:i w:val="0"/>
        </w:rPr>
        <w:t>Choose one cylinder formulation per case record. Geometry and plies remain shared; thick-wall radial results exclude torsion and process strains.</w:t>
      </w:r>
    </w:p>
    <w:p>
      <w:hyperlink r:id="rId27">
        <w:r>
          <w:rPr>
            <w:color w:val="176EA4"/>
          </w:rPr>
          <w:t>Theory &amp; limits</w:t>
        </w:r>
      </w:hyperlink>
      <w:r>
        <w:t xml:space="preserve"> </w:t>
      </w:r>
    </w:p>
    <w:p>
      <w:hyperlink r:id="rId28">
        <w:r>
          <w:rPr>
            <w:color w:val="176EA4"/>
          </w:rPr>
          <w:t>Guided exercise </w:t>
        </w:r>
      </w:hyperlink>
      <w:r>
        <w:t xml:space="preserve"> </w:t>
      </w:r>
    </w:p>
    <w:p>
      <w:pPr/>
      <w:r>
        <w:rPr>
          <w:b w:val="0"/>
          <w:i w:val="0"/>
        </w:rPr>
        <w:t xml:space="preserve"> · </w:t>
      </w:r>
      <w:hyperlink r:id="rId29">
        <w:r>
          <w:rPr>
            <w:color w:val="176EA4"/>
          </w:rPr>
          <w:t>Layerwise thick-wall theory</w:t>
        </w:r>
      </w:hyperlink>
      <w:r>
        <w:t xml:space="preserve"> </w:t>
      </w:r>
    </w:p>
    <w:p>
      <w:pPr>
        <w:keepNext/>
      </w:pPr>
      <w:r>
        <w:rPr>
          <w:b/>
          <w:i w:val="0"/>
        </w:rPr>
        <w:t>Membrane, bending &amp; beam buckling</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pPr/>
      <w:r>
        <w:rPr>
          <w:b w:val="0"/>
          <w:i w:val="0"/>
        </w:rPr>
        <w:t>Geometry and the case determine the membrane or beam-test interpretation. Euler buckling requires a compatible beam section and a separate reference-elastic study; it is not a strength or local-buckling pass.</w:t>
      </w:r>
    </w:p>
    <w:p>
      <w:hyperlink r:id="rId30">
        <w:r>
          <w:rPr>
            <w:color w:val="176EA4"/>
          </w:rPr>
          <w:t>Theory &amp; limits</w:t>
        </w:r>
      </w:hyperlink>
      <w:r>
        <w:t xml:space="preserve"> </w:t>
      </w:r>
    </w:p>
    <w:p>
      <w:hyperlink r:id="rId31">
        <w:r>
          <w:rPr>
            <w:color w:val="176EA4"/>
          </w:rPr>
          <w:t>Guided exercise </w:t>
        </w:r>
      </w:hyperlink>
      <w:r>
        <w:t xml:space="preserve"> </w:t>
      </w:r>
    </w:p>
    <w:p>
      <w:pPr>
        <w:keepNext/>
      </w:pPr>
      <w:r>
        <w:rPr>
          <w:b/>
          <w:i w:val="0"/>
        </w:rPr>
        <w:t>Layerwise sections, joints &amp; delamination</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pPr/>
      <w:r>
        <w:rPr>
          <w:b w:val="0"/>
          <w:i w:val="0"/>
        </w:rPr>
        <w:t>Coupled delamination is available only for the layerwise Plate section and needs calibrated interface and ply properties. Lap-shear uses its separate joint geometry and perfectly bonded elastic formulation.</w:t>
      </w:r>
    </w:p>
    <w:p>
      <w:hyperlink r:id="rId32">
        <w:r>
          <w:rPr>
            <w:color w:val="176EA4"/>
          </w:rPr>
          <w:t>Theory &amp; limits</w:t>
        </w:r>
      </w:hyperlink>
      <w:r>
        <w:t xml:space="preserve"> </w:t>
      </w:r>
    </w:p>
    <w:p>
      <w:hyperlink r:id="rId33">
        <w:r>
          <w:rPr>
            <w:color w:val="176EA4"/>
          </w:rPr>
          <w:t>Guided exercise </w:t>
        </w:r>
      </w:hyperlink>
      <w:r>
        <w:t xml:space="preserve"> </w:t>
      </w:r>
    </w:p>
    <w:p>
      <w:pPr/>
      <w:r>
        <w:rPr>
          <w:b w:val="0"/>
          <w:i w:val="0"/>
        </w:rPr>
        <w:t xml:space="preserve"> · </w:t>
      </w:r>
      <w:hyperlink r:id="rId34">
        <w:r>
          <w:rPr>
            <w:color w:val="176EA4"/>
          </w:rPr>
          <w:t>Cohesive interface theory</w:t>
        </w:r>
      </w:hyperlink>
      <w:r>
        <w:t xml:space="preserve"> </w:t>
      </w:r>
    </w:p>
    <w:p>
      <w:pPr>
        <w:keepNext/>
      </w:pPr>
      <w:r>
        <w:rPr>
          <w:b/>
          <w:i w:val="0"/>
        </w:rPr>
        <w:t>Sandwich bending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pStyle w:val="ListBullet"/>
      </w:pPr>
      <w:r>
        <w:rPr>
          <w:b w:val="0"/>
          <w:i w:val="0"/>
        </w:rPr>
        <w:t>Sandwich three-point bend</w:t>
      </w:r>
    </w:p>
    <w:p>
      <w:pPr/>
      <w:r>
        <w:rPr>
          <w:b w:val="0"/>
          <w:i w:val="0"/>
        </w:rPr>
        <w:t>Dedicated sandwich screening. Check core, faces and nominal bond shear separately; peel, mixed-mode debonding and crack growth are not assessed.</w:t>
      </w:r>
    </w:p>
    <w:p>
      <w:hyperlink r:id="rId32">
        <w:r>
          <w:rPr>
            <w:color w:val="176EA4"/>
          </w:rPr>
          <w:t>Theory &amp; limits</w:t>
        </w:r>
      </w:hyperlink>
      <w:r>
        <w:t xml:space="preserve"> </w:t>
      </w:r>
    </w:p>
    <w:p>
      <w:hyperlink r:id="rId35">
        <w:r>
          <w:rPr>
            <w:color w:val="176EA4"/>
          </w:rPr>
          <w:t>Guided exercise </w:t>
        </w:r>
      </w:hyperlink>
      <w:r>
        <w:t xml:space="preserve"> </w:t>
      </w:r>
    </w:p>
    <w:p>
      <w:pPr>
        <w:keepNext/>
      </w:pPr>
      <w:r>
        <w:rPr>
          <w:b/>
          <w:i w:val="0"/>
        </w:rPr>
        <w:t>Analytical bonded joint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pStyle w:val="ListBullet"/>
      </w:pPr>
      <w:r>
        <w:rPr>
          <w:b w:val="0"/>
          <w:i w:val="0"/>
        </w:rPr>
        <w:t>Volkersen &amp; Goland–Reissner joint</w:t>
      </w:r>
    </w:p>
    <w:p>
      <w:pPr/>
      <w:r>
        <w:rPr>
          <w:b w:val="0"/>
          <w:i w:val="0"/>
        </w:rPr>
        <w:t>Identical equivalent-elastic adherends, long free arms and a thin elastic adhesive. Compare shear-only Volkersen with eccentric single-lap shear and peel. Not a debonding, plasticity or strength calculation.</w:t>
      </w:r>
    </w:p>
    <w:p>
      <w:hyperlink r:id="rId36">
        <w:r>
          <w:rPr>
            <w:color w:val="176EA4"/>
          </w:rPr>
          <w:t>Theory &amp; limits</w:t>
        </w:r>
      </w:hyperlink>
      <w:r>
        <w:t xml:space="preserve"> </w:t>
      </w:r>
    </w:p>
    <w:p>
      <w:hyperlink r:id="rId37">
        <w:r>
          <w:rPr>
            <w:color w:val="176EA4"/>
          </w:rPr>
          <w:t>Guided exercise </w:t>
        </w:r>
      </w:hyperlink>
      <w:r>
        <w:t xml:space="preserve"> </w:t>
      </w:r>
    </w:p>
    <w:p>
      <w:pPr>
        <w:keepNext/>
      </w:pPr>
      <w:r>
        <w:rPr>
          <w:b/>
          <w:i w:val="0"/>
        </w:rPr>
        <w:t>Cylinder buckling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pStyle w:val="ListBullet"/>
      </w:pPr>
      <w:r>
        <w:rPr>
          <w:b w:val="0"/>
          <w:i w:val="0"/>
        </w:rPr>
        <w:t>Donnell cylinder · axial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38">
        <w:r>
          <w:rPr>
            <w:color w:val="176EA4"/>
          </w:rPr>
          <w:t>Theory &amp; limits</w:t>
        </w:r>
      </w:hyperlink>
      <w:r>
        <w:t xml:space="preserve"> </w:t>
      </w:r>
    </w:p>
    <w:p>
      <w:hyperlink r:id="rId39">
        <w:r>
          <w:rPr>
            <w:color w:val="176EA4"/>
          </w:rPr>
          <w:t>Guided exercise </w:t>
        </w:r>
      </w:hyperlink>
      <w:r>
        <w:t xml:space="preserve"> </w:t>
      </w:r>
    </w:p>
    <w:p>
      <w:pPr>
        <w:pStyle w:val="Heading3"/>
      </w:pPr>
      <w:r>
        <w:t>Failure durability variability</w:t>
      </w:r>
    </w:p>
    <w:p>
      <w:pPr/>
      <w:r>
        <w:rPr>
          <w:b w:val="0"/>
          <w:i w:val="0"/>
        </w:rPr>
        <w:t>Assess strength, service life and sensitivity</w:t>
      </w:r>
    </w:p>
    <w:p>
      <w:pPr>
        <w:pStyle w:val="ListBullet"/>
      </w:pPr>
      <w:r>
        <w:rPr>
          <w:b w:val="0"/>
          <w:i w:val="0"/>
        </w:rPr>
        <w:t>Ply response &amp; calibration</w:t>
      </w:r>
    </w:p>
    <w:p>
      <w:pPr>
        <w:pStyle w:val="ListBullet"/>
      </w:pPr>
      <w:r>
        <w:rPr>
          <w:b w:val="0"/>
          <w:i w:val="0"/>
        </w:rPr>
        <w:t>Selected assessment</w:t>
      </w:r>
    </w:p>
    <w:p>
      <w:pPr>
        <w:pStyle w:val="ListBullet"/>
      </w:pPr>
      <w:r>
        <w:rPr>
          <w:b w:val="0"/>
          <w:i w:val="0"/>
        </w:rPr>
        <w:t>Indices, envelopes &amp; life estimates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15</w:t>
      </w:r>
      <w:r>
        <w:rPr>
          <w:b/>
          <w:i w:val="0"/>
        </w:rPr>
        <w:t xml:space="preserve"> </w:t>
      </w:r>
      <w:r>
        <w:rPr>
          <w:b/>
          <w:i w:val="0"/>
        </w:rPr>
        <w:t xml:space="preserve"> model choices</w:t>
      </w:r>
    </w:p>
    <w:p>
      <w:pPr>
        <w:keepNext/>
      </w:pPr>
      <w:r>
        <w:rPr>
          <w:b/>
          <w:i w:val="0"/>
        </w:rPr>
        <w:t>Failure &amp; envelope comparison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pPr/>
      <w:r>
        <w:rPr>
          <w:b w:val="0"/>
          <w:i w:val="0"/>
        </w:rPr>
        <w:t>One primary failure criterion per load. In Response → Failure, compare all eligible theories or a custom selection in the envelope controls. Each theory runs independently; criteria are not blended.</w:t>
      </w:r>
    </w:p>
    <w:p>
      <w:hyperlink r:id="rId40">
        <w:r>
          <w:rPr>
            <w:color w:val="176EA4"/>
          </w:rPr>
          <w:t>Theory &amp; limits</w:t>
        </w:r>
      </w:hyperlink>
      <w:r>
        <w:t xml:space="preserve"> </w:t>
      </w:r>
    </w:p>
    <w:p>
      <w:hyperlink r:id="rId41">
        <w:r>
          <w:rPr>
            <w:color w:val="176EA4"/>
          </w:rPr>
          <w:t>Guided exercise </w:t>
        </w:r>
      </w:hyperlink>
      <w:r>
        <w:t xml:space="preserve"> </w:t>
      </w:r>
    </w:p>
    <w:p>
      <w:pPr/>
      <w:r>
        <w:rPr>
          <w:b w:val="0"/>
          <w:i w:val="0"/>
        </w:rPr>
        <w:t xml:space="preserve"> · </w:t>
      </w:r>
      <w:hyperlink r:id="rId42">
        <w:r>
          <w:rPr>
            <w:color w:val="176EA4"/>
          </w:rPr>
          <w:t>Failure equations</w:t>
        </w:r>
      </w:hyperlink>
      <w:r>
        <w:t xml:space="preserve"> </w:t>
      </w:r>
    </w:p>
    <w:p>
      <w:pPr/>
      <w:r>
        <w:rPr>
          <w:b w:val="0"/>
          <w:i w:val="0"/>
        </w:rPr>
        <w:t xml:space="preserve"> · </w:t>
      </w:r>
      <w:hyperlink r:id="rId43">
        <w:r>
          <w:rPr>
            <w:color w:val="176EA4"/>
          </w:rPr>
          <w:t>Implemented Workbench methods</w:t>
        </w:r>
      </w:hyperlink>
      <w:r>
        <w:t xml:space="preserve"> </w:t>
      </w:r>
    </w:p>
    <w:p>
      <w:pPr>
        <w:keepNext/>
      </w:pPr>
      <w:r>
        <w:rPr>
          <w:b/>
          <w:i w:val="0"/>
        </w:rPr>
        <w:t>Fatigue S–N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pPr/>
      <w:r>
        <w:rPr>
          <w:b w:val="0"/>
          <w:i w:val="0"/>
        </w:rPr>
        <w:t>Select calibrated S–N curves for each material, direction and stress sign in Fatigue. Different sources can use different models. S–N life does not define residual stiffness or strength.</w:t>
      </w:r>
    </w:p>
    <w:p>
      <w:hyperlink r:id="rId44">
        <w:r>
          <w:rPr>
            <w:color w:val="176EA4"/>
          </w:rPr>
          <w:t>Theory &amp; limits</w:t>
        </w:r>
      </w:hyperlink>
      <w:r>
        <w:t xml:space="preserve"> </w:t>
      </w:r>
    </w:p>
    <w:p>
      <w:hyperlink r:id="rId41">
        <w:r>
          <w:rPr>
            <w:color w:val="176EA4"/>
          </w:rPr>
          <w:t>Starter load case · add calibrated fatigue </w:t>
        </w:r>
      </w:hyperlink>
      <w:r>
        <w:t xml:space="preserve"> </w:t>
      </w:r>
    </w:p>
    <w:p>
      <w:pPr>
        <w:keepNext/>
      </w:pPr>
      <w:r>
        <w:rPr>
          <w:b/>
          <w:i w:val="0"/>
        </w:rPr>
        <w:t>Open-hole strength</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pStyle w:val="ListBullet"/>
      </w:pPr>
      <w:r>
        <w:rPr>
          <w:b w:val="0"/>
          <w:i w:val="0"/>
        </w:rPr>
        <w:t>Whitney–Nuismer open-hole tension</w:t>
      </w:r>
    </w:p>
    <w:p>
      <w:pPr/>
      <w:r>
        <w:rPr>
          <w:b w:val="0"/>
          <w:i w:val="0"/>
        </w:rPr>
        <w:t>Infinite-width, specially orthotropic tension screening. Point and average stress distances must be calibrated independently for this laminate. Not compression, bearing or a joint allowable.</w:t>
      </w:r>
    </w:p>
    <w:p>
      <w:hyperlink r:id="rId45">
        <w:r>
          <w:rPr>
            <w:color w:val="176EA4"/>
          </w:rPr>
          <w:t>Theory &amp; limits</w:t>
        </w:r>
      </w:hyperlink>
      <w:r>
        <w:t xml:space="preserve"> </w:t>
      </w:r>
    </w:p>
    <w:p>
      <w:hyperlink r:id="rId46">
        <w:r>
          <w:rPr>
            <w:color w:val="176EA4"/>
          </w:rPr>
          <w:t>Guided exercise </w:t>
        </w:r>
      </w:hyperlink>
      <w:r>
        <w:t xml:space="preserve"> </w:t>
      </w:r>
    </w:p>
    <w:p>
      <w:pPr>
        <w:keepNext/>
      </w:pPr>
      <w:r>
        <w:rPr>
          <w:b/>
          <w:i w:val="0"/>
        </w:rPr>
        <w:t>Creep &amp; stress relaxation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pStyle w:val="ListBullet"/>
      </w:pPr>
      <w:r>
        <w:rPr>
          <w:b w:val="0"/>
          <w:i w:val="0"/>
        </w:rPr>
        <w:t>Generalized Maxwell · axial Prony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hyperlink r:id="rId47">
        <w:r>
          <w:rPr>
            <w:color w:val="176EA4"/>
          </w:rPr>
          <w:t>Theory &amp; limits</w:t>
        </w:r>
      </w:hyperlink>
      <w:r>
        <w:t xml:space="preserve"> </w:t>
      </w:r>
    </w:p>
    <w:p>
      <w:hyperlink r:id="rId48">
        <w:r>
          <w:rPr>
            <w:color w:val="176EA4"/>
          </w:rPr>
          <w:t>Guided exercise </w:t>
        </w:r>
      </w:hyperlink>
      <w:r>
        <w:t xml:space="preserve"> </w:t>
      </w:r>
    </w:p>
    <w:p>
      <w:pPr>
        <w:keepNext/>
      </w:pPr>
      <w:r>
        <w:rPr>
          <w:b/>
          <w:i w:val="0"/>
        </w:rPr>
        <w:t>LaRC04 failure initiation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pStyle w:val="ListBullet"/>
      </w:pPr>
      <w:r>
        <w:rPr>
          <w:b w:val="0"/>
          <w:i w:val="0"/>
        </w:rPr>
        <w:t>LaRC04 · linear shear</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49">
        <w:r>
          <w:rPr>
            <w:color w:val="176EA4"/>
          </w:rPr>
          <w:t>Theory &amp; limits</w:t>
        </w:r>
      </w:hyperlink>
      <w:r>
        <w:t xml:space="preserve"> </w:t>
      </w:r>
    </w:p>
    <w:p>
      <w:hyperlink r:id="rId50">
        <w:r>
          <w:rPr>
            <w:color w:val="176EA4"/>
          </w:rPr>
          <w:t>Guided exercise </w:t>
        </w:r>
      </w:hyperlink>
      <w:r>
        <w:t xml:space="preserve"> </w:t>
      </w:r>
    </w:p>
    <w:p>
      <w:pPr>
        <w:keepNext/>
      </w:pPr>
      <w:r>
        <w:rPr>
          <w:b/>
          <w:i w:val="0"/>
        </w:rPr>
        <w:t>Fatigue residual properties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pStyle w:val="ListBullet"/>
      </w:pPr>
      <w:r>
        <w:rPr>
          <w:b w:val="0"/>
          <w:i w:val="0"/>
        </w:rPr>
        <w:t>Calibrated residual-property fatigue</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hyperlink r:id="rId51">
        <w:r>
          <w:rPr>
            <w:color w:val="176EA4"/>
          </w:rPr>
          <w:t>Theory &amp; limits</w:t>
        </w:r>
      </w:hyperlink>
      <w:r>
        <w:t xml:space="preserve"> </w:t>
      </w:r>
    </w:p>
    <w:p>
      <w:hyperlink r:id="rId52">
        <w:r>
          <w:rPr>
            <w:color w:val="176EA4"/>
          </w:rPr>
          <w:t>Guided exercise </w:t>
        </w:r>
      </w:hyperlink>
      <w:r>
        <w:t xml:space="preserve"> </w:t>
      </w:r>
    </w:p>
    <w:p>
      <w:pPr>
        <w:keepNext/>
      </w:pPr>
      <w:r>
        <w:rPr>
          <w:b/>
          <w:i w:val="0"/>
        </w:rPr>
        <w:t>Uncertainty &amp; sensitivity</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pStyle w:val="ListBullet"/>
      </w:pPr>
      <w:r>
        <w:rPr>
          <w:b w:val="0"/>
          <w:i w:val="0"/>
        </w:rPr>
        <w:t>Seeded laminate uncertainty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53">
        <w:r>
          <w:rPr>
            <w:color w:val="176EA4"/>
          </w:rPr>
          <w:t>Theory &amp; limits</w:t>
        </w:r>
      </w:hyperlink>
      <w:r>
        <w:t xml:space="preserve"> </w:t>
      </w:r>
    </w:p>
    <w:p>
      <w:hyperlink r:id="rId54">
        <w:r>
          <w:rPr>
            <w:color w:val="176EA4"/>
          </w:rPr>
          <w:t>Guided exercise </w:t>
        </w:r>
      </w:hyperlink>
      <w:r>
        <w:t xml:space="preserve"> </w:t>
      </w:r>
    </w:p>
    <w:p>
      <w:pPr>
        <w:pStyle w:val="Heading3"/>
      </w:pPr>
      <w:r>
        <w:t>Virtual test lab</w:t>
      </w:r>
    </w:p>
    <w:p>
      <w:pPr/>
      <w:r>
        <w:rPr>
          <w:b w:val="0"/>
          <w:i w:val="0"/>
        </w:rPr>
        <w:t>Explore specimen behavior and calibration</w:t>
      </w:r>
    </w:p>
    <w:p>
      <w:pPr>
        <w:pStyle w:val="ListBullet"/>
      </w:pPr>
      <w:r>
        <w:rPr>
          <w:b w:val="0"/>
          <w:i w:val="0"/>
        </w:rPr>
        <w:t>Specimen &amp; material inputs</w:t>
      </w:r>
    </w:p>
    <w:p>
      <w:pPr>
        <w:pStyle w:val="ListBullet"/>
      </w:pPr>
      <w:r>
        <w:rPr>
          <w:b w:val="0"/>
          <w:i w:val="0"/>
        </w:rPr>
        <w:t>Virtual test</w:t>
      </w:r>
    </w:p>
    <w:p>
      <w:pPr>
        <w:pStyle w:val="ListBullet"/>
      </w:pPr>
      <w:r>
        <w:rPr>
          <w:b w:val="0"/>
          <w:i w:val="0"/>
        </w:rPr>
        <w:t>Response &amp; comparison</w:t>
      </w:r>
    </w:p>
    <w:p>
      <w:pPr>
        <w:keepNext/>
      </w:pPr>
      <w:r>
        <w:rPr>
          <w:b/>
          <w:i w:val="0"/>
        </w:rPr>
        <w:t xml:space="preserve">Explore </w:t>
      </w:r>
      <w:r>
        <w:rPr>
          <w:b/>
          <w:i w:val="0"/>
        </w:rPr>
        <w:t xml:space="preserve"> </w:t>
      </w:r>
      <w:r>
        <w:rPr>
          <w:b/>
          <w:i w:val="0"/>
        </w:rPr>
        <w:t>10</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10</w:t>
      </w:r>
      <w:r>
        <w:rPr>
          <w:b/>
          <w:i w:val="0"/>
        </w:rPr>
        <w:t xml:space="preserve"> </w:t>
      </w:r>
      <w:r>
        <w:rPr>
          <w:b/>
          <w:i w:val="0"/>
        </w:rPr>
        <w:t xml:space="preserve"> model choices</w:t>
      </w:r>
    </w:p>
    <w:p>
      <w:pPr>
        <w:keepNext/>
      </w:pPr>
      <w:r>
        <w:rPr>
          <w:b/>
          <w:i w:val="0"/>
        </w:rPr>
        <w:t>D6641 · Compression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pStyle w:val="ListBullet"/>
      </w:pPr>
      <w:r>
        <w:rPr>
          <w:b w:val="0"/>
          <w:i w:val="0"/>
        </w:rPr>
        <w:t>Virtual test · compression coupon</w:t>
      </w:r>
    </w:p>
    <w:p>
      <w:pPr/>
      <w:r>
        <w:rPr>
          <w:b w:val="0"/>
          <w:i w:val="0"/>
        </w:rPr>
        <w:t>Uniform small-strain compression using linked laminate Ex and thickness. Measured compressive strength supplies a screening ratio; fixture, tabs, buckling and failure evolution are not simulated.</w:t>
      </w:r>
    </w:p>
    <w:p>
      <w:hyperlink r:id="rId55">
        <w:r>
          <w:rPr>
            <w:color w:val="176EA4"/>
          </w:rPr>
          <w:t>Theory &amp; limits</w:t>
        </w:r>
      </w:hyperlink>
      <w:r>
        <w:t xml:space="preserve"> </w:t>
      </w:r>
    </w:p>
    <w:p>
      <w:hyperlink r:id="rId56">
        <w:r>
          <w:rPr>
            <w:color w:val="176EA4"/>
          </w:rPr>
          <w:t>Guided exercise </w:t>
        </w:r>
      </w:hyperlink>
      <w:r>
        <w:t xml:space="preserve"> </w:t>
      </w:r>
    </w:p>
    <w:p>
      <w:pPr>
        <w:keepNext/>
      </w:pPr>
      <w:r>
        <w:rPr>
          <w:b/>
          <w:i w:val="0"/>
        </w:rPr>
        <w:t>D5379 / D7078 · Shear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pStyle w:val="ListBullet"/>
      </w:pPr>
      <w:r>
        <w:rPr>
          <w:b w:val="0"/>
          <w:i w:val="0"/>
        </w:rPr>
        <w:t>Virtual test · nominal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hyperlink r:id="rId57">
        <w:r>
          <w:rPr>
            <w:color w:val="176EA4"/>
          </w:rPr>
          <w:t>Theory &amp; limits</w:t>
        </w:r>
      </w:hyperlink>
      <w:r>
        <w:t xml:space="preserve"> </w:t>
      </w:r>
    </w:p>
    <w:p>
      <w:hyperlink r:id="rId58">
        <w:r>
          <w:rPr>
            <w:color w:val="176EA4"/>
          </w:rPr>
          <w:t>Guided exercise </w:t>
        </w:r>
      </w:hyperlink>
      <w:r>
        <w:t xml:space="preserve"> </w:t>
      </w:r>
    </w:p>
    <w:p>
      <w:pPr>
        <w:keepNext/>
      </w:pPr>
      <w:r>
        <w:rPr>
          <w:b/>
          <w:i w:val="0"/>
        </w:rPr>
        <w:t>D5528 · DCB opening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pStyle w:val="ListBullet"/>
      </w:pPr>
      <w:r>
        <w:rPr>
          <w:b w:val="0"/>
          <w:i w:val="0"/>
        </w:rPr>
        <w:t>Virtual test · DCB beam compliance</w:t>
      </w:r>
    </w:p>
    <w:p>
      <w:pPr/>
      <w:r>
        <w:rPr>
          <w:b w:val="0"/>
          <w:i w:val="0"/>
        </w:rPr>
        <w:t>Ideal Euler–Bernoulli DCB with equal homogeneous 0° arms, each half the linked laminate thickness. No root rotation, shear, large displacement or cohesive growth. Critical load is an initiation estimate from supplied GIc.</w:t>
      </w:r>
    </w:p>
    <w:p>
      <w:hyperlink r:id="rId59">
        <w:r>
          <w:rPr>
            <w:color w:val="176EA4"/>
          </w:rPr>
          <w:t>Theory &amp; limits</w:t>
        </w:r>
      </w:hyperlink>
      <w:r>
        <w:t xml:space="preserve"> </w:t>
      </w:r>
    </w:p>
    <w:p>
      <w:hyperlink r:id="rId60">
        <w:r>
          <w:rPr>
            <w:color w:val="176EA4"/>
          </w:rPr>
          <w:t>Guided exercise </w:t>
        </w:r>
      </w:hyperlink>
      <w:r>
        <w:t xml:space="preserve"> </w:t>
      </w:r>
    </w:p>
    <w:p>
      <w:pPr>
        <w:keepNext/>
      </w:pPr>
      <w:r>
        <w:rPr>
          <w:b/>
          <w:i w:val="0"/>
        </w:rPr>
        <w:t>D7905 · ENF sliding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pStyle w:val="ListBullet"/>
      </w:pPr>
      <w:r>
        <w:rPr>
          <w:b w:val="0"/>
          <w:i w:val="0"/>
        </w:rPr>
        <w:t>Virtual test · ENF beam compliance</w:t>
      </w:r>
    </w:p>
    <w:p>
      <w:pPr/>
      <w:r>
        <w:rPr>
          <w:b w:val="0"/>
          <w:i w:val="0"/>
        </w:rPr>
        <w:t>Ideal equal-arm, homogeneous 0° ENF beam; support span is twice the half-span. Crack must be shorter than the half-span. No shear/root correction or unstable crack growth. GIIc is supplied, not fitted automatically.</w:t>
      </w:r>
    </w:p>
    <w:p>
      <w:hyperlink r:id="rId61">
        <w:r>
          <w:rPr>
            <w:color w:val="176EA4"/>
          </w:rPr>
          <w:t>Theory &amp; limits</w:t>
        </w:r>
      </w:hyperlink>
      <w:r>
        <w:t xml:space="preserve"> </w:t>
      </w:r>
    </w:p>
    <w:p>
      <w:hyperlink r:id="rId62">
        <w:r>
          <w:rPr>
            <w:color w:val="176EA4"/>
          </w:rPr>
          <w:t>Guided exercise </w:t>
        </w:r>
      </w:hyperlink>
      <w:r>
        <w:t xml:space="preserve"> </w:t>
      </w:r>
    </w:p>
    <w:p>
      <w:pPr>
        <w:keepNext/>
      </w:pPr>
      <w:r>
        <w:rPr>
          <w:b/>
          <w:i w:val="0"/>
        </w:rPr>
        <w:t>D6671 · Mixed-mode fracture envelope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pStyle w:val="ListBullet"/>
      </w:pPr>
      <w:r>
        <w:rPr>
          <w:b w:val="0"/>
          <w:i w:val="0"/>
        </w:rPr>
        <w:t>Virtual test · BK mixed-mode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hyperlink r:id="rId63">
        <w:r>
          <w:rPr>
            <w:color w:val="176EA4"/>
          </w:rPr>
          <w:t>Theory &amp; limits</w:t>
        </w:r>
      </w:hyperlink>
      <w:r>
        <w:t xml:space="preserve"> </w:t>
      </w:r>
    </w:p>
    <w:p>
      <w:hyperlink r:id="rId64">
        <w:r>
          <w:rPr>
            <w:color w:val="176EA4"/>
          </w:rPr>
          <w:t>Guided exercise </w:t>
        </w:r>
      </w:hyperlink>
      <w:r>
        <w:t xml:space="preserve"> </w:t>
      </w:r>
    </w:p>
    <w:p>
      <w:pPr>
        <w:keepNext/>
      </w:pPr>
      <w:r>
        <w:rPr>
          <w:b/>
          <w:i w:val="0"/>
        </w:rPr>
        <w:t>D5229 · Moisture uptake calibration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ListBullet"/>
      </w:pPr>
      <w:r>
        <w:rPr>
          <w:b w:val="0"/>
          <w:i w:val="0"/>
        </w:rPr>
        <w:t>Virtual test · Fickian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65">
        <w:r>
          <w:rPr>
            <w:color w:val="176EA4"/>
          </w:rPr>
          <w:t>Theory &amp; limits</w:t>
        </w:r>
      </w:hyperlink>
      <w:r>
        <w:t xml:space="preserve"> </w:t>
      </w:r>
    </w:p>
    <w:p>
      <w:hyperlink r:id="rId66">
        <w:r>
          <w:rPr>
            <w:color w:val="176EA4"/>
          </w:rPr>
          <w:t>Guided exercise </w:t>
        </w:r>
      </w:hyperlink>
      <w:r>
        <w:t xml:space="preserve"> </w:t>
      </w:r>
    </w:p>
    <w:p>
      <w:pPr>
        <w:keepNext/>
      </w:pPr>
      <w:r>
        <w:rPr>
          <w:b/>
          <w:i w:val="0"/>
        </w:rPr>
        <w:t>D5961 · Bearing / bypass screening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pStyle w:val="ListBullet"/>
      </w:pPr>
      <w:r>
        <w:rPr>
          <w:b w:val="0"/>
          <w:i w:val="0"/>
        </w:rPr>
        <w:t>Virtual test · bearing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hyperlink r:id="rId67">
        <w:r>
          <w:rPr>
            <w:color w:val="176EA4"/>
          </w:rPr>
          <w:t>Theory &amp; limits</w:t>
        </w:r>
      </w:hyperlink>
      <w:r>
        <w:t xml:space="preserve"> </w:t>
      </w:r>
    </w:p>
    <w:p>
      <w:hyperlink r:id="rId68">
        <w:r>
          <w:rPr>
            <w:color w:val="176EA4"/>
          </w:rPr>
          <w:t>Guided exercise </w:t>
        </w:r>
      </w:hyperlink>
      <w:r>
        <w:t xml:space="preserve"> </w:t>
      </w:r>
    </w:p>
    <w:p>
      <w:pPr>
        <w:keepNext/>
      </w:pPr>
      <w:r>
        <w:rPr>
          <w:b/>
          <w:i w:val="0"/>
        </w:rPr>
        <w:t>D6484 · Open-hole compression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pStyle w:val="ListBullet"/>
      </w:pPr>
      <w:r>
        <w:rPr>
          <w:b w:val="0"/>
          <w:i w:val="0"/>
        </w:rPr>
        <w:t>Virtual test · measured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hyperlink r:id="rId69">
        <w:r>
          <w:rPr>
            <w:color w:val="176EA4"/>
          </w:rPr>
          <w:t>Theory &amp; limits</w:t>
        </w:r>
      </w:hyperlink>
      <w:r>
        <w:t xml:space="preserve"> </w:t>
      </w:r>
    </w:p>
    <w:p>
      <w:hyperlink r:id="rId70">
        <w:r>
          <w:rPr>
            <w:color w:val="176EA4"/>
          </w:rPr>
          <w:t>Guided exercise </w:t>
        </w:r>
      </w:hyperlink>
      <w:r>
        <w:t xml:space="preserve"> </w:t>
      </w:r>
    </w:p>
    <w:p>
      <w:pPr>
        <w:keepNext/>
      </w:pPr>
      <w:r>
        <w:rPr>
          <w:b/>
          <w:i w:val="0"/>
        </w:rPr>
        <w:t>D6742 · Filled-hole comparison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pStyle w:val="ListBullet"/>
      </w:pPr>
      <w:r>
        <w:rPr>
          <w:b w:val="0"/>
          <w:i w:val="0"/>
        </w:rPr>
        <w:t>Virtual test · measured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hyperlink r:id="rId71">
        <w:r>
          <w:rPr>
            <w:color w:val="176EA4"/>
          </w:rPr>
          <w:t>Theory &amp; limits</w:t>
        </w:r>
      </w:hyperlink>
      <w:r>
        <w:t xml:space="preserve"> </w:t>
      </w:r>
    </w:p>
    <w:p>
      <w:hyperlink r:id="rId72">
        <w:r>
          <w:rPr>
            <w:color w:val="176EA4"/>
          </w:rPr>
          <w:t>Guided exercise </w:t>
        </w:r>
      </w:hyperlink>
      <w:r>
        <w:t xml:space="preserve"> </w:t>
      </w:r>
    </w:p>
    <w:p>
      <w:pPr>
        <w:keepNext/>
      </w:pPr>
      <w:r>
        <w:rPr>
          <w:b/>
          <w:i w:val="0"/>
        </w:rPr>
        <w:t>D7136 / D7137 · Impact &amp; CAI assessment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ListBullet"/>
      </w:pPr>
      <w:r>
        <w:rPr>
          <w:b w:val="0"/>
          <w:i w:val="0"/>
        </w:rPr>
        <w:t>Virtual test · measured impact and CAI</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73">
        <w:r>
          <w:rPr>
            <w:color w:val="176EA4"/>
          </w:rPr>
          <w:t>Theory &amp; limits</w:t>
        </w:r>
      </w:hyperlink>
      <w:r>
        <w:t xml:space="preserve"> </w:t>
      </w:r>
    </w:p>
    <w:p>
      <w:hyperlink r:id="rId74">
        <w:r>
          <w:rPr>
            <w:color w:val="176EA4"/>
          </w:rPr>
          <w:t>Guided exercise </w:t>
        </w:r>
      </w:hyperlink>
      <w:r>
        <w:t xml:space="preserve"> </w:t>
      </w:r>
    </w:p>
    <w:p>
      <w:pPr>
        <w:pStyle w:val="Heading3"/>
      </w:pPr>
      <w:r>
        <w:t>Electromagnetics RF</w:t>
      </w:r>
    </w:p>
    <w:p>
      <w:pPr/>
      <w:r>
        <w:rPr>
          <w:b w:val="0"/>
          <w:i w:val="0"/>
        </w:rPr>
        <w:t>Design dielectric mixtures, shielding and periodic layers</w:t>
      </w:r>
    </w:p>
    <w:p>
      <w:pPr>
        <w:pStyle w:val="ListBullet"/>
      </w:pPr>
      <w:r>
        <w:rPr>
          <w:b w:val="0"/>
          <w:i w:val="0"/>
        </w:rPr>
        <w:t>Electrical properties &amp; layers</w:t>
      </w:r>
    </w:p>
    <w:p>
      <w:pPr>
        <w:pStyle w:val="ListBullet"/>
      </w:pPr>
      <w:r>
        <w:rPr>
          <w:b w:val="0"/>
          <w:i w:val="0"/>
        </w:rPr>
        <w:t>Effective medium / wave propagation</w:t>
      </w:r>
    </w:p>
    <w:p>
      <w:pPr>
        <w:pStyle w:val="ListBullet"/>
      </w:pPr>
      <w:r>
        <w:rPr>
          <w:b w:val="0"/>
          <w:i w:val="0"/>
        </w:rPr>
        <w:t>Permittivity &amp; RF response</w:t>
      </w:r>
    </w:p>
    <w:p>
      <w:pPr>
        <w:keepNext/>
      </w:pPr>
      <w:r>
        <w:rPr>
          <w:b/>
          <w:i w:val="0"/>
        </w:rPr>
        <w:t xml:space="preserve">Explore </w:t>
      </w:r>
      <w:r>
        <w:rPr>
          <w:b/>
          <w:i w:val="0"/>
        </w:rPr>
        <w:t xml:space="preserve"> </w:t>
      </w:r>
      <w:r>
        <w:rPr>
          <w:b/>
          <w:i w:val="0"/>
        </w:rPr>
        <w:t>13</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13</w:t>
      </w:r>
      <w:r>
        <w:rPr>
          <w:b/>
          <w:i w:val="0"/>
        </w:rPr>
        <w:t xml:space="preserve"> </w:t>
      </w:r>
      <w:r>
        <w:rPr>
          <w:b/>
          <w:i w:val="0"/>
        </w:rPr>
        <w:t xml:space="preserve"> model choices</w:t>
      </w:r>
    </w:p>
    <w:p>
      <w:pPr>
        <w:keepNext/>
      </w:pPr>
      <w:r>
        <w:rPr>
          <w:b/>
          <w:i w:val="0"/>
        </w:rPr>
        <w:t>Wiener series and parallel</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Wiener series and parallel</w:t>
      </w:r>
    </w:p>
    <w:p>
      <w:pPr/>
      <w:r>
        <w:rPr>
          <w:b w:val="0"/>
          <w:i w:val="0"/>
        </w:rPr>
        <w:t>Positive lossless dielectric bounds; complex directional estimates.</w:t>
      </w:r>
    </w:p>
    <w:p>
      <w:hyperlink r:id="rId75">
        <w:r>
          <w:rPr>
            <w:color w:val="176EA4"/>
          </w:rPr>
          <w:t>Theory &amp; limits</w:t>
        </w:r>
      </w:hyperlink>
      <w:r>
        <w:t xml:space="preserve"> </w:t>
      </w:r>
    </w:p>
    <w:p>
      <w:hyperlink r:id="rId76">
        <w:r>
          <w:rPr>
            <w:color w:val="176EA4"/>
          </w:rPr>
          <w:t>Guided exercise </w:t>
        </w:r>
      </w:hyperlink>
      <w:r>
        <w:t xml:space="preserve"> </w:t>
      </w:r>
    </w:p>
    <w:p>
      <w:pPr>
        <w:keepNext/>
      </w:pPr>
      <w:r>
        <w:rPr>
          <w:b/>
          <w:i w:val="0"/>
        </w:rPr>
        <w:t>Looyenga / Landau–Lifshitz–Looyenga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Looyenga / Landau–Lifshitz–Looyenga</w:t>
      </w:r>
    </w:p>
    <w:p>
      <w:pPr/>
      <w:r>
        <w:rPr>
          <w:b w:val="0"/>
          <w:i w:val="0"/>
        </w:rPr>
        <w:t>One cube-root mixing law, not two independent models.</w:t>
      </w:r>
    </w:p>
    <w:p>
      <w:hyperlink r:id="rId77">
        <w:r>
          <w:rPr>
            <w:color w:val="176EA4"/>
          </w:rPr>
          <w:t>Theory &amp; limits</w:t>
        </w:r>
      </w:hyperlink>
      <w:r>
        <w:t xml:space="preserve"> </w:t>
      </w:r>
    </w:p>
    <w:p>
      <w:hyperlink r:id="rId78">
        <w:r>
          <w:rPr>
            <w:color w:val="176EA4"/>
          </w:rPr>
          <w:t>Guided exercise </w:t>
        </w:r>
      </w:hyperlink>
      <w:r>
        <w:t xml:space="preserve"> </w:t>
      </w:r>
    </w:p>
    <w:p>
      <w:pPr>
        <w:keepNext/>
      </w:pPr>
      <w:r>
        <w:rPr>
          <w:b/>
          <w:i w:val="0"/>
        </w:rPr>
        <w:t>Maxwell–Garnett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Maxwell–Garnett</w:t>
      </w:r>
    </w:p>
    <w:p>
      <w:pPr/>
      <w:r>
        <w:rPr>
          <w:b w:val="0"/>
          <w:i w:val="0"/>
        </w:rPr>
        <w:t>Dilute subwavelength spherical inclusions in a host.</w:t>
      </w:r>
    </w:p>
    <w:p>
      <w:hyperlink r:id="rId79">
        <w:r>
          <w:rPr>
            <w:color w:val="176EA4"/>
          </w:rPr>
          <w:t>Theory &amp; limits</w:t>
        </w:r>
      </w:hyperlink>
      <w:r>
        <w:t xml:space="preserve"> </w:t>
      </w:r>
    </w:p>
    <w:p>
      <w:hyperlink r:id="rId80">
        <w:r>
          <w:rPr>
            <w:color w:val="176EA4"/>
          </w:rPr>
          <w:t>Guided exercise </w:t>
        </w:r>
      </w:hyperlink>
      <w:r>
        <w:t xml:space="preserve"> </w:t>
      </w:r>
    </w:p>
    <w:p>
      <w:pPr>
        <w:keepNext/>
      </w:pPr>
      <w:r>
        <w:rPr>
          <w:b/>
          <w:i w:val="0"/>
        </w:rPr>
        <w:t>Normal-incidence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Normal-incidence laminate TMM</w:t>
      </w:r>
    </w:p>
    <w:p>
      <w:pPr/>
      <w:r>
        <w:rPr>
          <w:b w:val="0"/>
          <w:i w:val="0"/>
        </w:rPr>
        <w:t>Coherent isotropic nonmagnetic layers between air half-spaces.</w:t>
      </w:r>
    </w:p>
    <w:p>
      <w:hyperlink r:id="rId81">
        <w:r>
          <w:rPr>
            <w:color w:val="176EA4"/>
          </w:rPr>
          <w:t>Theory &amp; limits</w:t>
        </w:r>
      </w:hyperlink>
      <w:r>
        <w:t xml:space="preserve"> </w:t>
      </w:r>
    </w:p>
    <w:p>
      <w:hyperlink r:id="rId82">
        <w:r>
          <w:rPr>
            <w:color w:val="176EA4"/>
          </w:rPr>
          <w:t>Guided exercise </w:t>
        </w:r>
      </w:hyperlink>
      <w:r>
        <w:t xml:space="preserve"> </w:t>
      </w:r>
    </w:p>
    <w:p>
      <w:pPr>
        <w:keepNext/>
      </w:pPr>
      <w:r>
        <w:rPr>
          <w:b/>
          <w:i w:val="0"/>
        </w:rPr>
        <w:t>Bruggeman symmetric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Bruggeman symmetric EMT</w:t>
      </w:r>
    </w:p>
    <w:p>
      <w:pPr/>
      <w:r>
        <w:rPr>
          <w:b w:val="0"/>
          <w:i w:val="0"/>
        </w:rPr>
        <w:t>Two positive-permittivity phases; no explicit contact network.</w:t>
      </w:r>
    </w:p>
    <w:p>
      <w:hyperlink r:id="rId83">
        <w:r>
          <w:rPr>
            <w:color w:val="176EA4"/>
          </w:rPr>
          <w:t>Theory &amp; limits</w:t>
        </w:r>
      </w:hyperlink>
      <w:r>
        <w:t xml:space="preserve"> </w:t>
      </w:r>
    </w:p>
    <w:p>
      <w:hyperlink r:id="rId84">
        <w:r>
          <w:rPr>
            <w:color w:val="176EA4"/>
          </w:rPr>
          <w:t>Guided exercise </w:t>
        </w:r>
      </w:hyperlink>
      <w:r>
        <w:t xml:space="preserve"> </w:t>
      </w:r>
    </w:p>
    <w:p>
      <w:pPr>
        <w:keepNext/>
      </w:pPr>
      <w:r>
        <w:rPr>
          <w:b/>
          <w:i w:val="0"/>
        </w:rPr>
        <w:t>EM Mori–Tanaka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Mori–Tanaka</w:t>
      </w:r>
    </w:p>
    <w:p>
      <w:pPr/>
      <w:r>
        <w:rPr>
          <w:b w:val="0"/>
          <w:i w:val="0"/>
        </w:rPr>
        <w:t>Scalar principal-axis ellipsoidal field approximation.</w:t>
      </w:r>
    </w:p>
    <w:p>
      <w:hyperlink r:id="rId85">
        <w:r>
          <w:rPr>
            <w:color w:val="176EA4"/>
          </w:rPr>
          <w:t>Theory &amp; limits</w:t>
        </w:r>
      </w:hyperlink>
      <w:r>
        <w:t xml:space="preserve"> </w:t>
      </w:r>
    </w:p>
    <w:p>
      <w:hyperlink r:id="rId86">
        <w:r>
          <w:rPr>
            <w:color w:val="176EA4"/>
          </w:rPr>
          <w:t>Guided exercise </w:t>
        </w:r>
      </w:hyperlink>
      <w:r>
        <w:t xml:space="preserve"> </w:t>
      </w:r>
    </w:p>
    <w:p>
      <w:pPr>
        <w:keepNext/>
      </w:pPr>
      <w:r>
        <w:rPr>
          <w:b/>
          <w:i w:val="0"/>
        </w:rPr>
        <w:t>EM self-consistent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self-consistent</w:t>
      </w:r>
    </w:p>
    <w:p>
      <w:pPr/>
      <w:r>
        <w:rPr>
          <w:b w:val="0"/>
          <w:i w:val="0"/>
        </w:rPr>
        <w:t>Scalar principal-axis self-consistency; spherical case equals Bruggeman.</w:t>
      </w:r>
    </w:p>
    <w:p>
      <w:hyperlink r:id="rId87">
        <w:r>
          <w:rPr>
            <w:color w:val="176EA4"/>
          </w:rPr>
          <w:t>Theory &amp; limits</w:t>
        </w:r>
      </w:hyperlink>
      <w:r>
        <w:t xml:space="preserve"> </w:t>
      </w:r>
    </w:p>
    <w:p>
      <w:hyperlink r:id="rId88">
        <w:r>
          <w:rPr>
            <w:color w:val="176EA4"/>
          </w:rPr>
          <w:t>Guided exercise </w:t>
        </w:r>
      </w:hyperlink>
      <w:r>
        <w:t xml:space="preserve"> </w:t>
      </w:r>
    </w:p>
    <w:p>
      <w:pPr>
        <w:keepNext/>
      </w:pPr>
      <w:r>
        <w:rPr>
          <w:b/>
          <w:i w:val="0"/>
        </w:rPr>
        <w:t>Differential effective medium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Differential effective medium</w:t>
      </w:r>
    </w:p>
    <w:p>
      <w:pPr/>
      <w:r>
        <w:rPr>
          <w:b w:val="0"/>
          <w:i w:val="0"/>
        </w:rPr>
        <w:t>Incremental mixing with time-step refinement check.</w:t>
      </w:r>
    </w:p>
    <w:p>
      <w:hyperlink r:id="rId89">
        <w:r>
          <w:rPr>
            <w:color w:val="176EA4"/>
          </w:rPr>
          <w:t>Theory &amp; limits</w:t>
        </w:r>
      </w:hyperlink>
      <w:r>
        <w:t xml:space="preserve"> </w:t>
      </w:r>
    </w:p>
    <w:p>
      <w:hyperlink r:id="rId90">
        <w:r>
          <w:rPr>
            <w:color w:val="176EA4"/>
          </w:rPr>
          <w:t>Guided exercise </w:t>
        </w:r>
      </w:hyperlink>
      <w:r>
        <w:t xml:space="preserve"> </w:t>
      </w:r>
    </w:p>
    <w:p>
      <w:pPr>
        <w:keepNext/>
      </w:pPr>
      <w:r>
        <w:rPr>
          <w:b/>
          <w:i w:val="0"/>
        </w:rPr>
        <w:t>Coated sphere and interphase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Coated sphere and interphase</w:t>
      </w:r>
    </w:p>
    <w:p>
      <w:pPr/>
      <w:r>
        <w:rPr>
          <w:b w:val="0"/>
          <w:i w:val="0"/>
        </w:rPr>
        <w:t>Concentric subwavelength coated spheres; no dynamic Mie scattering.</w:t>
      </w:r>
    </w:p>
    <w:p>
      <w:hyperlink r:id="rId91">
        <w:r>
          <w:rPr>
            <w:color w:val="176EA4"/>
          </w:rPr>
          <w:t>Theory &amp; limits</w:t>
        </w:r>
      </w:hyperlink>
      <w:r>
        <w:t xml:space="preserve"> </w:t>
      </w:r>
    </w:p>
    <w:p>
      <w:hyperlink r:id="rId92">
        <w:r>
          <w:rPr>
            <w:color w:val="176EA4"/>
          </w:rPr>
          <w:t>Guided exercise </w:t>
        </w:r>
      </w:hyperlink>
      <w:r>
        <w:t xml:space="preserve"> </w:t>
      </w:r>
    </w:p>
    <w:p>
      <w:pPr>
        <w:keepNext/>
      </w:pPr>
      <w:r>
        <w:rPr>
          <w:b/>
          <w:i w:val="0"/>
        </w:rPr>
        <w:t>Generalized multiphase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Generalized multiphase EMT</w:t>
      </w:r>
    </w:p>
    <w:p>
      <w:pPr/>
      <w:r>
        <w:rPr>
          <w:b w:val="0"/>
          <w:i w:val="0"/>
        </w:rPr>
        <w:t>Spherical multiphase Bruggeman with convergence checks.</w:t>
      </w:r>
    </w:p>
    <w:p>
      <w:hyperlink r:id="rId93">
        <w:r>
          <w:rPr>
            <w:color w:val="176EA4"/>
          </w:rPr>
          <w:t>Theory &amp; limits</w:t>
        </w:r>
      </w:hyperlink>
      <w:r>
        <w:t xml:space="preserve"> </w:t>
      </w:r>
    </w:p>
    <w:p>
      <w:hyperlink r:id="rId94">
        <w:r>
          <w:rPr>
            <w:color w:val="176EA4"/>
          </w:rPr>
          <w:t>Guided exercise </w:t>
        </w:r>
      </w:hyperlink>
      <w:r>
        <w:t xml:space="preserve"> </w:t>
      </w:r>
    </w:p>
    <w:p>
      <w:pPr>
        <w:keepNext/>
      </w:pPr>
      <w:r>
        <w:rPr>
          <w:b/>
          <w:i w:val="0"/>
        </w:rPr>
        <w:t>Oblique polarized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Oblique polarized laminate TMM</w:t>
      </w:r>
    </w:p>
    <w:p>
      <w:pPr/>
      <w:r>
        <w:rPr>
          <w:b w:val="0"/>
          <w:i w:val="0"/>
        </w:rPr>
        <w:t>TE or TM waves; scalar isotropic layers, no polarization conversion.</w:t>
      </w:r>
    </w:p>
    <w:p>
      <w:hyperlink r:id="rId95">
        <w:r>
          <w:rPr>
            <w:color w:val="176EA4"/>
          </w:rPr>
          <w:t>Theory &amp; limits</w:t>
        </w:r>
      </w:hyperlink>
      <w:r>
        <w:t xml:space="preserve"> </w:t>
      </w:r>
    </w:p>
    <w:p>
      <w:hyperlink r:id="rId96">
        <w:r>
          <w:rPr>
            <w:color w:val="176EA4"/>
          </w:rPr>
          <w:t>Guided exercise </w:t>
        </w:r>
      </w:hyperlink>
      <w:r>
        <w:t xml:space="preserve"> </w:t>
      </w:r>
    </w:p>
    <w:p>
      <w:pPr>
        <w:keepNext/>
      </w:pPr>
      <w:r>
        <w:rPr>
          <w:b/>
          <w:i w:val="0"/>
        </w:rPr>
        <w:t>1D transmission line matrix</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pStyle w:val="ListBullet"/>
      </w:pPr>
      <w:r>
        <w:rPr>
          <w:b w:val="0"/>
          <w:i w:val="0"/>
        </w:rPr>
        <w:t>EM · 1D transmission line matrix</w:t>
      </w:r>
    </w:p>
    <w:p>
      <w:pPr/>
      <w:r>
        <w:rPr>
          <w:b w:val="0"/>
          <w:i w:val="0"/>
        </w:rPr>
        <w:t>Normal-incidence lossless delay-line mesh with pulse decay, energy and mesh-refinement safeguards. Explicit Run required; not a 3D solver.</w:t>
      </w:r>
    </w:p>
    <w:p>
      <w:hyperlink r:id="rId97">
        <w:r>
          <w:rPr>
            <w:color w:val="176EA4"/>
          </w:rPr>
          <w:t>Theory &amp; limits</w:t>
        </w:r>
      </w:hyperlink>
      <w:r>
        <w:t xml:space="preserve"> </w:t>
      </w:r>
    </w:p>
    <w:p>
      <w:hyperlink r:id="rId98">
        <w:r>
          <w:rPr>
            <w:color w:val="176EA4"/>
          </w:rPr>
          <w:t>Guided exercise </w:t>
        </w:r>
      </w:hyperlink>
      <w:r>
        <w:t xml:space="preserve"> </w:t>
      </w:r>
    </w:p>
    <w:p>
      <w:pPr>
        <w:keepNext/>
      </w:pPr>
      <w:r>
        <w:rPr>
          <w:b/>
          <w:i w:val="0"/>
        </w:rPr>
        <w:t>1D Floquet–Bloch periodic layers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pStyle w:val="ListBullet"/>
      </w:pPr>
      <w:r>
        <w:rPr>
          <w:b w:val="0"/>
          <w:i w:val="0"/>
        </w:rPr>
        <w:t>EM · 1D Floquet–Bloch periodic layers</w:t>
      </w:r>
    </w:p>
    <w:p>
      <w:pPr/>
      <w:r>
        <w:rPr>
          <w:b w:val="0"/>
          <w:i w:val="0"/>
        </w:rPr>
        <w:t>Lossless isotropic A/B unit-cell eigenvalues, folded Bloch phase and stop-band attenuation at normal incidence. Not arbitrary-cell homogenization.</w:t>
      </w:r>
    </w:p>
    <w:p>
      <w:hyperlink r:id="rId99">
        <w:r>
          <w:rPr>
            <w:color w:val="176EA4"/>
          </w:rPr>
          <w:t>Theory &amp; limits</w:t>
        </w:r>
      </w:hyperlink>
      <w:r>
        <w:t xml:space="preserve"> </w:t>
      </w:r>
    </w:p>
    <w:p>
      <w:hyperlink r:id="rId100">
        <w:r>
          <w:rPr>
            <w:color w:val="176EA4"/>
          </w:rPr>
          <w:t>Guided exercise </w:t>
        </w:r>
      </w:hyperlink>
      <w:r>
        <w:t xml:space="preserve"> </w:t>
      </w:r>
    </w:p>
    <w:p>
      <w:pPr>
        <w:keepNext/>
      </w:pPr>
      <w:r>
        <w:rPr>
          <w:b/>
          <w:i w:val="0"/>
        </w:rPr>
        <w:t>Reference theory versus released functionality</w:t>
      </w:r>
    </w:p>
    <w:p>
      <w:pPr/>
      <w:r>
        <w:rPr>
          <w:b w:val="0"/>
          <w:i w:val="0"/>
        </w:rPr>
        <w:t>The wider theory library also describes research and compiled-solver formulations. Event-driven Henry–Pimenta RVE, stochastic discontinuous-fiber failure, Puck, nonlinear-shear LaRC04, impact and general 3D finite-element analysis are not selectable hosted Workbench models. Cox elastic short-fiber homogenization and the separate linear-shear LaRC04 study are available within their stated limits.</w:t>
      </w:r>
    </w:p>
    <w:p>
      <w:pPr/>
      <w:r>
        <w:rPr>
          <w:b w:val="0"/>
          <w:i w:val="0"/>
        </w:rPr>
        <w:t>Reference-state studies run separately from coupled process or progressive analyses. Residual-fatigue results do not automatically update optimization properties. Tool release uses prescribed eigenstrains rather than importing a cure history.</w:t>
      </w:r>
    </w:p>
    <w:p>
      <w:bookmarkStart w:id="9" w:name="chapter_9"/>
      <w:pPr>
        <w:pStyle w:val="Heading1"/>
        <w:pageBreakBefore/>
      </w:pPr>
      <w:r>
        <w:t>9 Connect design intent to process behavior</w:t>
      </w:r>
      <w:bookmarkEnd w:id="9"/>
    </w:p>
    <w:p>
      <w:pPr>
        <w:pStyle w:val="Caption"/>
      </w:pPr>
      <w:hyperlink r:id="rId118">
        <w:r>
          <w:rPr>
            <w:color w:val="176EA4"/>
          </w:rPr>
          <w:t>Online chapter</w:t>
        </w:r>
      </w:hyperlink>
      <w:r>
        <w:t xml:space="preserve"> </w:t>
      </w:r>
    </w:p>
    <w:p>
      <w:pPr/>
      <w:r>
        <w:rPr>
          <w:b w:val="0"/>
          <w:i w:val="0"/>
        </w:rPr>
        <w:t>Solve steady-state or transient through-thickness process response before structural analysis, using effective ply transport properties, independent top and bottom schedules, cure exotherm, cure-dependent modulus, polymer kinetics, water uptake or release, and process-cycle optimization.</w:t>
      </w:r>
    </w:p>
    <w:p>
      <w:r>
        <w:t>Read time and travel distance</w:t>
      </w:r>
    </w:p>
    <w:p>
      <w:pPr/>
      <w:r>
        <w:rPr>
          <w:b w:val="0"/>
          <w:i w:val="0"/>
        </w:rPr>
        <w:t>Boundary peak</w:t>
      </w:r>
      <w:r>
        <w:t xml:space="preserve">: </w:t>
      </w:r>
      <w:r>
        <w:rPr>
          <w:b w:val="0"/>
          <w:i w:val="0"/>
        </w:rPr>
        <w:t>120</w:t>
      </w:r>
      <w:r>
        <w:rPr>
          <w:b w:val="0"/>
          <w:i w:val="0"/>
        </w:rPr>
        <w:t xml:space="preserve"> </w:t>
      </w:r>
      <w:r>
        <w:rPr>
          <w:b w:val="0"/>
          <w:i w:val="0"/>
        </w:rPr>
        <w:t xml:space="preserve"> </w:t>
      </w:r>
      <w:r>
        <w:rPr>
          <w:b w:val="0"/>
          <w:i w:val="0"/>
        </w:rPr>
        <w:t xml:space="preserve"> </w:t>
      </w:r>
      <w:r>
        <w:rPr>
          <w:b w:val="0"/>
          <w:i w:val="0"/>
        </w:rPr>
        <w:t>°C</w:t>
      </w:r>
    </w:p>
    <w:p>
      <w:pPr/>
      <w:r>
        <w:rPr>
          <w:b w:val="0"/>
          <w:i w:val="0"/>
        </w:rPr>
        <w:t>Pull speed</w:t>
      </w:r>
      <w:r>
        <w:t xml:space="preserve">: </w:t>
      </w:r>
      <w:r>
        <w:rPr>
          <w:b w:val="0"/>
          <w:i w:val="0"/>
        </w:rPr>
        <w:t>10</w:t>
      </w:r>
      <w:r>
        <w:rPr>
          <w:b w:val="0"/>
          <w:i w:val="0"/>
        </w:rPr>
        <w:t xml:space="preserve"> </w:t>
      </w:r>
      <w:r>
        <w:rPr>
          <w:b w:val="0"/>
          <w:i w:val="0"/>
        </w:rPr>
        <w:t xml:space="preserve"> </w:t>
      </w:r>
      <w:r>
        <w:rPr>
          <w:b w:val="0"/>
          <w:i w:val="0"/>
        </w:rPr>
        <w:t xml:space="preserve"> </w:t>
      </w:r>
      <w:r>
        <w:rPr>
          <w:b w:val="0"/>
          <w:i w:val="0"/>
        </w:rPr>
        <w:t>mm/min</w:t>
      </w:r>
    </w:p>
    <w:p>
      <w:pPr/>
      <w:r>
        <w:rPr>
          <w:b w:val="0"/>
          <w:i w:val="0"/>
        </w:rPr>
        <w:t>Time cursor</w:t>
      </w:r>
      <w:r>
        <w:t xml:space="preserve">: </w:t>
      </w:r>
      <w:r>
        <w:rPr>
          <w:b w:val="0"/>
          <w:i w:val="0"/>
        </w:rPr>
        <w:t>30</w:t>
      </w:r>
      <w:r>
        <w:rPr>
          <w:b w:val="0"/>
          <w:i w:val="0"/>
        </w:rPr>
        <w:t xml:space="preserve"> </w:t>
      </w:r>
      <w:r>
        <w:rPr>
          <w:b w:val="0"/>
          <w:i w:val="0"/>
        </w:rPr>
        <w:t xml:space="preserve"> </w:t>
      </w:r>
      <w:r>
        <w:rPr>
          <w:b w:val="0"/>
          <w:i w:val="0"/>
        </w:rPr>
        <w:t xml:space="preserve"> </w:t>
      </w:r>
      <w:r>
        <w:rPr>
          <w:b w:val="0"/>
          <w:i w:val="0"/>
        </w:rPr>
        <w:t>min</w:t>
      </w:r>
    </w:p>
    <w:p>
      <w:r>
        <w:t>Show length instead of time</w:t>
      </w:r>
    </w:p>
    <w:p>
      <w:pPr>
        <w:keepNext w:val="0"/>
        <w:jc w:val="center"/>
      </w:pPr>
      <w:r>
        <w:drawing>
          <wp:inline xmlns:a="http://schemas.openxmlformats.org/drawingml/2006/main" xmlns:pic="http://schemas.openxmlformats.org/drawingml/2006/picture">
            <wp:extent cx="6217920" cy="3008671"/>
            <wp:docPr id="11" name="Picture 11" descr="CDS workflow or model illustration"/>
            <wp:cNvGraphicFramePr>
              <a:graphicFrameLocks noChangeAspect="1"/>
            </wp:cNvGraphicFramePr>
            <a:graphic>
              <a:graphicData uri="http://schemas.openxmlformats.org/drawingml/2006/picture">
                <pic:pic>
                  <pic:nvPicPr>
                    <pic:cNvPr id="0" name="rsvg-859d77426e4a327be598b4169882a9deaecd9260214eeb8ef33932eff7c1ad11.png"/>
                    <pic:cNvPicPr/>
                  </pic:nvPicPr>
                  <pic:blipFill>
                    <a:blip r:embed="rId123"/>
                    <a:stretch>
                      <a:fillRect/>
                    </a:stretch>
                  </pic:blipFill>
                  <pic:spPr>
                    <a:xfrm>
                      <a:off x="0" y="0"/>
                      <a:ext cx="6217920" cy="3008671"/>
                    </a:xfrm>
                    <a:prstGeom prst="rect"/>
                  </pic:spPr>
                </pic:pic>
              </a:graphicData>
            </a:graphic>
          </wp:inline>
        </w:drawing>
      </w:r>
    </w:p>
    <w:p>
      <w:pPr/>
      <w:r>
        <w:rPr>
          <w:b w:val="0"/>
          <w:i w:val="0"/>
        </w:rPr>
        <w:t>Cursor: 30 min · 300 mm · 120.0 °C</w:t>
      </w:r>
    </w:p>
    <w:p>
      <w:pPr/>
      <w:r>
        <w:rPr>
          <w:b w:val="0"/>
          <w:i w:val="0"/>
        </w:rPr>
        <w:t>03.4</w:t>
      </w:r>
      <w:r>
        <w:rPr>
          <w:b w:val="0"/>
          <w:i w:val="0"/>
        </w:rPr>
        <w:t xml:space="preserve"> </w:t>
      </w:r>
      <w:r>
        <w:rPr>
          <w:b w:val="0"/>
          <w:i w:val="0"/>
        </w:rPr>
        <w:t xml:space="preserve"> / Workflow focus</w:t>
      </w:r>
    </w:p>
    <w:p>
      <w:pPr/>
      <w:r>
        <w:rPr>
          <w:b w:val="0"/>
          <w:i w:val="0"/>
        </w:rPr>
        <w:t>Connected engineering record</w:t>
      </w:r>
    </w:p>
    <w:p>
      <w:pPr>
        <w:pStyle w:val="Heading2"/>
      </w:pPr>
      <w:r>
        <w:t>Independent boundary schedules</w:t>
      </w:r>
    </w:p>
    <w:p>
      <w:pPr/>
      <w:r>
        <w:rPr>
          <w:b w:val="0"/>
          <w:i w:val="0"/>
        </w:rPr>
        <w:t>Thermal and moisture loads each need compatible material properties, a laminate, initial conditions and their own surface schedule.</w:t>
      </w:r>
    </w:p>
    <w:p>
      <w:pPr>
        <w:pStyle w:val="Heading2"/>
      </w:pPr>
      <w:r>
        <w:t>Thermal and moisture formulations</w:t>
      </w:r>
    </w:p>
    <w:p>
      <w:pPr/>
      <w:r>
        <w:rPr>
          <w:b w:val="0"/>
          <w:i w:val="0"/>
        </w:rPr>
        <w:t>Choose the steady or transient transport model for the study. Transient histories resolve the supported one-dimensional through-thickness problem.</w:t>
      </w:r>
    </w:p>
    <w:p>
      <w:pPr>
        <w:pStyle w:val="Heading2"/>
      </w:pPr>
      <w:r>
        <w:t>Cure crystallization and UV</w:t>
      </w:r>
    </w:p>
    <w:p>
      <w:pPr/>
      <w:r>
        <w:rPr>
          <w:b w:val="0"/>
          <w:i w:val="0"/>
        </w:rPr>
        <w:t>Assigned calibrated material laws govern supported polymer-state calculations. UV cure needs its exposure inputs; pultrusion needs the distance/time relationship and pulling speed.</w:t>
      </w:r>
    </w:p>
    <w:p>
      <w:pPr>
        <w:pStyle w:val="Heading2"/>
      </w:pPr>
      <w:r>
        <w:t>Supported coupling</w:t>
      </w:r>
    </w:p>
    <w:p>
      <w:pPr/>
      <w:r>
        <w:rPr>
          <w:b w:val="0"/>
          <w:i w:val="0"/>
        </w:rPr>
        <w:t>A process schedule alone is not a solved history. Only compatible coupled analyses consume recovered environmental fields; reference-elastic studies remain separate.</w:t>
      </w:r>
    </w:p>
    <w:p>
      <w:pPr>
        <w:pStyle w:val="Heading2"/>
      </w:pPr>
      <w:r>
        <w:t>Tool-release shape</w:t>
      </w:r>
    </w:p>
    <w:p>
      <w:pPr/>
      <w:r>
        <w:rPr>
          <w:b w:val="0"/>
          <w:i w:val="0"/>
        </w:rPr>
        <w:t>The separate free-release CLT study uses prescribed temperatures and effective shrinkage. It is not a tool-contact simulation or an automatic transfer of the thermal cure history.</w:t>
      </w:r>
    </w:p>
    <w:p>
      <w:pPr>
        <w:pStyle w:val="Heading2"/>
      </w:pPr>
      <w:r>
        <w:t>Process optimization</w:t>
      </w:r>
    </w:p>
    <w:p>
      <w:pPr/>
      <w:r>
        <w:rPr>
          <w:b w:val="0"/>
          <w:i w:val="0"/>
        </w:rPr>
        <w:t>Compare bounded cycle candidates under supported objectives, save the validation data and rerun the selected candidate.</w:t>
      </w:r>
    </w:p>
    <w:p>
      <w:pPr/>
      <w:r>
        <w:rPr>
          <w:b w:val="0"/>
          <w:i w:val="0"/>
        </w:rPr>
        <w:t xml:space="preserve">Workbench availability: </w:t>
      </w:r>
      <w:hyperlink r:id="rId11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3">
        <w:r>
          <w:rPr>
            <w:color w:val="176EA4"/>
          </w:rPr>
          <w:t>Use this workflow in Workbench: interactive Blocks, record selections and connection controls →</w:t>
        </w:r>
      </w:hyperlink>
      <w:r>
        <w:t xml:space="preserve"> </w:t>
      </w:r>
    </w:p>
    <w:p>
      <w:pPr>
        <w:pStyle w:val="Heading2"/>
      </w:pPr>
      <w:r>
        <w:t>Processing released model connections</w:t>
      </w:r>
    </w:p>
    <w:p>
      <w:pPr/>
      <w:r>
        <w:rPr>
          <w:b w:val="0"/>
          <w:i w:val="0"/>
        </w:rPr>
        <w:t xml:space="preserve">Expand a family for inputs, outputs, supported formulations, theory and an exercise. </w:t>
      </w:r>
      <w:hyperlink r:id="rId111">
        <w:r>
          <w:rPr>
            <w:color w:val="176EA4"/>
          </w:rPr>
          <w:t>All model families </w:t>
        </w:r>
      </w:hyperlink>
      <w:r>
        <w:t xml:space="preserve"> </w:t>
      </w:r>
    </w:p>
    <w:p>
      <w:pPr>
        <w:pStyle w:val="Heading3"/>
      </w:pPr>
      <w:r>
        <w:t>Heat moisture manufacturing</w:t>
      </w:r>
    </w:p>
    <w:p>
      <w:pPr/>
      <w:r>
        <w:rPr>
          <w:b w:val="0"/>
          <w:i w:val="0"/>
        </w:rPr>
        <w:t>Cure, pultrusion, conditioning and tool release</w:t>
      </w:r>
    </w:p>
    <w:p>
      <w:pPr>
        <w:pStyle w:val="ListBullet"/>
      </w:pPr>
      <w:r>
        <w:rPr>
          <w:b w:val="0"/>
          <w:i w:val="0"/>
        </w:rPr>
        <w:t>Material laws &amp; boundary cycles</w:t>
      </w:r>
    </w:p>
    <w:p>
      <w:pPr>
        <w:pStyle w:val="ListBullet"/>
      </w:pPr>
      <w:r>
        <w:rPr>
          <w:b w:val="0"/>
          <w:i w:val="0"/>
        </w:rPr>
        <w:t>Transport &amp; reaction</w:t>
      </w:r>
    </w:p>
    <w:p>
      <w:pPr>
        <w:pStyle w:val="ListBullet"/>
      </w:pPr>
      <w:r>
        <w:rPr>
          <w:b w:val="0"/>
          <w:i w:val="0"/>
        </w:rPr>
        <w:t>History &amp; compatible process fields</w:t>
      </w:r>
    </w:p>
    <w:p>
      <w:pPr>
        <w:keepNext/>
      </w:pPr>
      <w:r>
        <w:rPr>
          <w:b/>
          <w:i w:val="0"/>
        </w:rPr>
        <w:t xml:space="preserve">Explore </w:t>
      </w:r>
      <w:r>
        <w:rPr>
          <w:b/>
          <w:i w:val="0"/>
        </w:rPr>
        <w:t xml:space="preserve"> </w:t>
      </w:r>
      <w:r>
        <w:rPr>
          <w:b/>
          <w:i w:val="0"/>
        </w:rPr>
        <w:t>4</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14</w:t>
      </w:r>
      <w:r>
        <w:rPr>
          <w:b/>
          <w:i w:val="0"/>
        </w:rPr>
        <w:t xml:space="preserve"> </w:t>
      </w:r>
      <w:r>
        <w:rPr>
          <w:b/>
          <w:i w:val="0"/>
        </w:rPr>
        <w:t xml:space="preserve"> model choices</w:t>
      </w:r>
    </w:p>
    <w:p>
      <w:pPr>
        <w:keepNext/>
      </w:pPr>
      <w:r>
        <w:rPr>
          <w:b/>
          <w:i w:val="0"/>
        </w:rPr>
        <w:t>Cure, crystallization &amp; material transport</w:t>
      </w:r>
      <w:r>
        <w:rPr>
          <w:b/>
          <w:i w:val="0"/>
        </w:rPr>
        <w:t xml:space="preserve"> </w:t>
      </w:r>
      <w:r>
        <w:rPr>
          <w:b/>
          <w:i w:val="0"/>
        </w:rPr>
        <w:t xml:space="preserve"> </w:t>
      </w:r>
      <w:r>
        <w:rPr>
          <w:b/>
          <w:i w:val="0"/>
        </w:rPr>
        <w:t xml:space="preserve">· </w:t>
      </w:r>
      <w:r>
        <w:rPr>
          <w:b/>
          <w:i w:val="0"/>
        </w:rPr>
        <w:t xml:space="preserve"> </w:t>
      </w:r>
      <w:r>
        <w:rPr>
          <w:b/>
          <w:i w:val="0"/>
        </w:rPr>
        <w:t>8</w:t>
      </w:r>
      <w:r>
        <w:rPr>
          <w:b/>
        </w:rPr>
        <w:t xml:space="preserve"> </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pPr/>
      <w:r>
        <w:rPr>
          <w:b w:val="0"/>
          <w:i w:val="0"/>
        </w:rPr>
        <w:t>Independent model records can be linked together through material inputs. A saved model must be assigned to a material before it contributes to a simulation.</w:t>
      </w:r>
    </w:p>
    <w:p>
      <w:hyperlink r:id="rId13">
        <w:r>
          <w:rPr>
            <w:color w:val="176EA4"/>
          </w:rPr>
          <w:t>Theory &amp; limits</w:t>
        </w:r>
      </w:hyperlink>
      <w:r>
        <w:t xml:space="preserve"> </w:t>
      </w:r>
    </w:p>
    <w:p>
      <w:hyperlink r:id="rId14">
        <w:r>
          <w:rPr>
            <w:color w:val="176EA4"/>
          </w:rPr>
          <w:t>Guided exercise </w:t>
        </w:r>
      </w:hyperlink>
      <w:r>
        <w:t xml:space="preserve"> </w:t>
      </w:r>
    </w:p>
    <w:p>
      <w:pPr/>
      <w:r>
        <w:rPr>
          <w:b w:val="0"/>
          <w:i w:val="0"/>
        </w:rPr>
        <w:t xml:space="preserve"> · </w:t>
      </w:r>
      <w:hyperlink r:id="rId15">
        <w:r>
          <w:rPr>
            <w:color w:val="176EA4"/>
          </w:rPr>
          <w:t>Cure kinetics</w:t>
        </w:r>
      </w:hyperlink>
      <w:r>
        <w:t xml:space="preserve"> </w:t>
      </w:r>
    </w:p>
    <w:p>
      <w:pPr/>
      <w:r>
        <w:rPr>
          <w:b w:val="0"/>
          <w:i w:val="0"/>
        </w:rPr>
        <w:t xml:space="preserve"> · </w:t>
      </w:r>
      <w:hyperlink r:id="rId16">
        <w:r>
          <w:rPr>
            <w:color w:val="176EA4"/>
          </w:rPr>
          <w:t>Crystallization kinetics</w:t>
        </w:r>
      </w:hyperlink>
      <w:r>
        <w:t xml:space="preserve"> </w:t>
      </w:r>
    </w:p>
    <w:p>
      <w:pPr>
        <w:keepNext/>
      </w:pPr>
      <w:r>
        <w:rPr>
          <w:b/>
          <w:i w:val="0"/>
        </w:rPr>
        <w:t>Thermal transport</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pPr/>
      <w:r>
        <w:rPr>
          <w:b w:val="0"/>
          <w:i w:val="0"/>
        </w:rPr>
        <w:t>One transport formulation per thermal case. Select its laminate and configure its own initial conditions and surface cycle; pultrusion additionally requires a distance-based die schedule and pulling velocity.</w:t>
      </w:r>
    </w:p>
    <w:p>
      <w:hyperlink r:id="rId17">
        <w:r>
          <w:rPr>
            <w:color w:val="176EA4"/>
          </w:rPr>
          <w:t>Theory &amp; limits</w:t>
        </w:r>
      </w:hyperlink>
      <w:r>
        <w:t xml:space="preserve"> </w:t>
      </w:r>
    </w:p>
    <w:p>
      <w:hyperlink r:id="rId18">
        <w:r>
          <w:rPr>
            <w:color w:val="176EA4"/>
          </w:rPr>
          <w:t>Guided exercise </w:t>
        </w:r>
      </w:hyperlink>
      <w:r>
        <w:t xml:space="preserve"> </w:t>
      </w:r>
    </w:p>
    <w:p>
      <w:pPr/>
      <w:r>
        <w:rPr>
          <w:b w:val="0"/>
          <w:i w:val="0"/>
        </w:rPr>
        <w:t xml:space="preserve"> · </w:t>
      </w:r>
      <w:hyperlink r:id="rId19">
        <w:r>
          <w:rPr>
            <w:color w:val="176EA4"/>
          </w:rPr>
          <w:t>Pultrusion exercise</w:t>
        </w:r>
      </w:hyperlink>
      <w:r>
        <w:t xml:space="preserve"> </w:t>
      </w:r>
    </w:p>
    <w:p>
      <w:pPr/>
      <w:r>
        <w:rPr>
          <w:b w:val="0"/>
          <w:i w:val="0"/>
        </w:rPr>
        <w:t xml:space="preserve"> · </w:t>
      </w:r>
      <w:hyperlink r:id="rId20">
        <w:r>
          <w:rPr>
            <w:color w:val="176EA4"/>
          </w:rPr>
          <w:t>UV cure exercise</w:t>
        </w:r>
      </w:hyperlink>
      <w:r>
        <w:t xml:space="preserve"> </w:t>
      </w:r>
    </w:p>
    <w:p>
      <w:pPr>
        <w:keepNext/>
      </w:pPr>
      <w:r>
        <w:rPr>
          <w:b/>
          <w:i w:val="0"/>
        </w:rPr>
        <w:t>Moisture transport</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pStyle w:val="ListBullet"/>
      </w:pPr>
      <w:r>
        <w:rPr>
          <w:b w:val="0"/>
          <w:i w:val="0"/>
        </w:rPr>
        <w:t>1D transient moisture diffusion</w:t>
      </w:r>
    </w:p>
    <w:p>
      <w:pPr>
        <w:pStyle w:val="ListBullet"/>
      </w:pPr>
      <w:r>
        <w:rPr>
          <w:b w:val="0"/>
          <w:i w:val="0"/>
        </w:rPr>
        <w:t>1D steady-state moisture diffusion</w:t>
      </w:r>
    </w:p>
    <w:p>
      <w:pPr/>
      <w:r>
        <w:rPr>
          <w:b w:val="0"/>
          <w:i w:val="0"/>
        </w:rPr>
        <w:t>One formulation per moisture analysis. Thermal and moisture analyses can both be linked in Simulation; each needs its own boundary conditions.</w:t>
      </w:r>
    </w:p>
    <w:p>
      <w:hyperlink r:id="rId21">
        <w:r>
          <w:rPr>
            <w:color w:val="176EA4"/>
          </w:rPr>
          <w:t>Theory &amp; limits</w:t>
        </w:r>
      </w:hyperlink>
      <w:r>
        <w:t xml:space="preserve"> </w:t>
      </w:r>
    </w:p>
    <w:p>
      <w:hyperlink r:id="rId22">
        <w:r>
          <w:rPr>
            <w:color w:val="176EA4"/>
          </w:rPr>
          <w:t>Guided exercise </w:t>
        </w:r>
      </w:hyperlink>
      <w:r>
        <w:t xml:space="preserve"> </w:t>
      </w:r>
    </w:p>
    <w:p>
      <w:pPr>
        <w:keepNext/>
      </w:pPr>
      <w:r>
        <w:rPr>
          <w:b/>
          <w:i w:val="0"/>
        </w:rPr>
        <w:t>Tool-release shape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pStyle w:val="ListBullet"/>
      </w:pPr>
      <w:r>
        <w:rPr>
          <w:b w:val="0"/>
          <w:i w:val="0"/>
        </w:rPr>
        <w:t>Free-release eigenstrain &amp; spring-in</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23">
        <w:r>
          <w:rPr>
            <w:color w:val="176EA4"/>
          </w:rPr>
          <w:t>Theory &amp; limits</w:t>
        </w:r>
      </w:hyperlink>
      <w:r>
        <w:t xml:space="preserve"> </w:t>
      </w:r>
    </w:p>
    <w:p>
      <w:hyperlink r:id="rId24">
        <w:r>
          <w:rPr>
            <w:color w:val="176EA4"/>
          </w:rPr>
          <w:t>Guided exercise </w:t>
        </w:r>
      </w:hyperlink>
      <w:r>
        <w:t xml:space="preserve"> </w:t>
      </w:r>
    </w:p>
    <w:p>
      <w:pPr>
        <w:pStyle w:val="Heading3"/>
      </w:pPr>
      <w:r>
        <w:t>Virtual test lab</w:t>
      </w:r>
    </w:p>
    <w:p>
      <w:pPr/>
      <w:r>
        <w:rPr>
          <w:b w:val="0"/>
          <w:i w:val="0"/>
        </w:rPr>
        <w:t>Explore specimen behavior and calibration</w:t>
      </w:r>
    </w:p>
    <w:p>
      <w:pPr>
        <w:pStyle w:val="ListBullet"/>
      </w:pPr>
      <w:r>
        <w:rPr>
          <w:b w:val="0"/>
          <w:i w:val="0"/>
        </w:rPr>
        <w:t>Specimen &amp; material inputs</w:t>
      </w:r>
    </w:p>
    <w:p>
      <w:pPr>
        <w:pStyle w:val="ListBullet"/>
      </w:pPr>
      <w:r>
        <w:rPr>
          <w:b w:val="0"/>
          <w:i w:val="0"/>
        </w:rPr>
        <w:t>Virtual test</w:t>
      </w:r>
    </w:p>
    <w:p>
      <w:pPr>
        <w:pStyle w:val="ListBullet"/>
      </w:pPr>
      <w:r>
        <w:rPr>
          <w:b w:val="0"/>
          <w:i w:val="0"/>
        </w:rPr>
        <w:t>Response &amp; comparison</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1</w:t>
      </w:r>
      <w:r>
        <w:rPr>
          <w:b/>
          <w:i w:val="0"/>
        </w:rPr>
        <w:t xml:space="preserve"> </w:t>
      </w:r>
      <w:r>
        <w:rPr>
          <w:b/>
          <w:i w:val="0"/>
        </w:rPr>
        <w:t xml:space="preserve"> model choices</w:t>
      </w:r>
    </w:p>
    <w:p>
      <w:pPr>
        <w:keepNext/>
      </w:pPr>
      <w:r>
        <w:rPr>
          <w:b/>
          <w:i w:val="0"/>
        </w:rPr>
        <w:t>D5229 · Moisture uptake calibration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ListBullet"/>
      </w:pPr>
      <w:r>
        <w:rPr>
          <w:b w:val="0"/>
          <w:i w:val="0"/>
        </w:rPr>
        <w:t>Virtual test · Fickian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65">
        <w:r>
          <w:rPr>
            <w:color w:val="176EA4"/>
          </w:rPr>
          <w:t>Theory &amp; limits</w:t>
        </w:r>
      </w:hyperlink>
      <w:r>
        <w:t xml:space="preserve"> </w:t>
      </w:r>
    </w:p>
    <w:p>
      <w:hyperlink r:id="rId66">
        <w:r>
          <w:rPr>
            <w:color w:val="176EA4"/>
          </w:rPr>
          <w:t>Guided exercise </w:t>
        </w:r>
      </w:hyperlink>
      <w:r>
        <w:t xml:space="preserve"> </w:t>
      </w:r>
    </w:p>
    <w:p>
      <w:hyperlink r:id="rId115">
        <w:r>
          <w:rPr>
            <w:color w:val="176EA4"/>
          </w:rPr>
          <w:t>Next workflow page 03.5 Design →</w:t>
        </w:r>
      </w:hyperlink>
      <w:r>
        <w:t xml:space="preserve"> </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Models &amp; Workflow Manual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workflow" TargetMode="External"/><Relationship Id="rId11" Type="http://schemas.openxmlformats.org/officeDocument/2006/relationships/hyperlink" Target="https://cdscomposites.com/help/micromechanics/volume-i" TargetMode="External"/><Relationship Id="rId12" Type="http://schemas.openxmlformats.org/officeDocument/2006/relationships/hyperlink" Target="https://cdscomposites.com/getting-started/exercises?exercise=02-halpin" TargetMode="External"/><Relationship Id="rId13" Type="http://schemas.openxmlformats.org/officeDocument/2006/relationships/hyperlink" Target="https://cdscomposites.com/help/processing" TargetMode="External"/><Relationship Id="rId14" Type="http://schemas.openxmlformats.org/officeDocument/2006/relationships/hyperlink" Target="https://cdscomposites.com/getting-started/exercises?exercise=case-process-cure" TargetMode="External"/><Relationship Id="rId15" Type="http://schemas.openxmlformats.org/officeDocument/2006/relationships/hyperlink" Target="https://cdscomposites.com/help/materials/cure-kinetics" TargetMode="External"/><Relationship Id="rId16" Type="http://schemas.openxmlformats.org/officeDocument/2006/relationships/hyperlink" Target="https://cdscomposites.com/help/materials/crystallization-kinetics" TargetMode="External"/><Relationship Id="rId17" Type="http://schemas.openxmlformats.org/officeDocument/2006/relationships/hyperlink" Target="https://cdscomposites.com/help/processing/transient-heat" TargetMode="External"/><Relationship Id="rId18" Type="http://schemas.openxmlformats.org/officeDocument/2006/relationships/hyperlink" Target="https://cdscomposites.com/getting-started/exercises?exercise=07-thermal" TargetMode="External"/><Relationship Id="rId19" Type="http://schemas.openxmlformats.org/officeDocument/2006/relationships/hyperlink" Target="https://cdscomposites.com/getting-started/exercises?exercise=07-pultrusion-intro" TargetMode="External"/><Relationship Id="rId20" Type="http://schemas.openxmlformats.org/officeDocument/2006/relationships/hyperlink" Target="https://cdscomposites.com/getting-started/exercises?exercise=07-uv-cure" TargetMode="External"/><Relationship Id="rId21" Type="http://schemas.openxmlformats.org/officeDocument/2006/relationships/hyperlink" Target="https://cdscomposites.com/help/moisture" TargetMode="External"/><Relationship Id="rId22" Type="http://schemas.openxmlformats.org/officeDocument/2006/relationships/hyperlink" Target="https://cdscomposites.com/getting-started/exercises?exercise=08-moisture" TargetMode="External"/><Relationship Id="rId23" Type="http://schemas.openxmlformats.org/officeDocument/2006/relationships/hyperlink" Target="https://cdscomposites.com/help/advanced-models#cure_shape" TargetMode="External"/><Relationship Id="rId24" Type="http://schemas.openxmlformats.org/officeDocument/2006/relationships/hyperlink" Target="https://cdscomposites.com/getting-started/exercises?exercise=advanced-cure_shape" TargetMode="External"/><Relationship Id="rId25" Type="http://schemas.openxmlformats.org/officeDocument/2006/relationships/hyperlink" Target="https://cdscomposites.com/help/structural/fsdt" TargetMode="External"/><Relationship Id="rId26" Type="http://schemas.openxmlformats.org/officeDocument/2006/relationships/hyperlink" Target="https://cdscomposites.com/getting-started/exercises?exercise=fsdt-02" TargetMode="External"/><Relationship Id="rId27" Type="http://schemas.openxmlformats.org/officeDocument/2006/relationships/hyperlink" Target="https://cdscomposites.com/help/structural/cylinder-shell" TargetMode="External"/><Relationship Id="rId28" Type="http://schemas.openxmlformats.org/officeDocument/2006/relationships/hyperlink" Target="https://cdscomposites.com/getting-started/exercises?exercise=06-pressure" TargetMode="External"/><Relationship Id="rId29" Type="http://schemas.openxmlformats.org/officeDocument/2006/relationships/hyperlink" Target="https://cdscomposites.com/help/structural/cylinder-hyer" TargetMode="External"/><Relationship Id="rId30" Type="http://schemas.openxmlformats.org/officeDocument/2006/relationships/hyperlink" Target="https://cdscomposites.com/help/structural/geometry" TargetMode="External"/><Relationship Id="rId31" Type="http://schemas.openxmlformats.org/officeDocument/2006/relationships/hyperlink" Target="https://cdscomposites.com/getting-started/exercises?exercise=05-flexure" TargetMode="External"/><Relationship Id="rId32" Type="http://schemas.openxmlformats.org/officeDocument/2006/relationships/hyperlink" Target="https://cdscomposites.com/help/structural" TargetMode="External"/><Relationship Id="rId33" Type="http://schemas.openxmlformats.org/officeDocument/2006/relationships/hyperlink" Target="https://cdscomposites.com/getting-started/exercises?exercise=simulation-20" TargetMode="External"/><Relationship Id="rId34" Type="http://schemas.openxmlformats.org/officeDocument/2006/relationships/hyperlink" Target="https://cdscomposites.com/help/laminates/cohesive-delamination" TargetMode="External"/><Relationship Id="rId35" Type="http://schemas.openxmlformats.org/officeDocument/2006/relationships/hyperlink" Target="https://cdscomposites.com/getting-started/exercises?exercise=simulation-12" TargetMode="External"/><Relationship Id="rId36" Type="http://schemas.openxmlformats.org/officeDocument/2006/relationships/hyperlink" Target="https://cdscomposites.com/help/advanced-models#bonded_joint" TargetMode="External"/><Relationship Id="rId37" Type="http://schemas.openxmlformats.org/officeDocument/2006/relationships/hyperlink" Target="https://cdscomposites.com/getting-started/exercises?exercise=advanced-bonded_joint" TargetMode="External"/><Relationship Id="rId38" Type="http://schemas.openxmlformats.org/officeDocument/2006/relationships/hyperlink" Target="https://cdscomposites.com/help/advanced-models#shell_buckling" TargetMode="External"/><Relationship Id="rId39" Type="http://schemas.openxmlformats.org/officeDocument/2006/relationships/hyperlink" Target="https://cdscomposites.com/getting-started/exercises?exercise=advanced-shell_buckling" TargetMode="External"/><Relationship Id="rId40" Type="http://schemas.openxmlformats.org/officeDocument/2006/relationships/hyperlink" Target="https://cdscomposites.com/help/laminates" TargetMode="External"/><Relationship Id="rId41" Type="http://schemas.openxmlformats.org/officeDocument/2006/relationships/hyperlink" Target="https://cdscomposites.com/getting-started/exercises?exercise=03-layup" TargetMode="External"/><Relationship Id="rId42" Type="http://schemas.openxmlformats.org/officeDocument/2006/relationships/hyperlink" Target="https://cdscomposites.com/help/laminates/failure-criteria" TargetMode="External"/><Relationship Id="rId43" Type="http://schemas.openxmlformats.org/officeDocument/2006/relationships/hyperlink" Target="https://cdscomposites.com/help/laminates/workbench-methods" TargetMode="External"/><Relationship Id="rId44" Type="http://schemas.openxmlformats.org/officeDocument/2006/relationships/hyperlink" Target="https://cdscomposites.com/help/structural/fatigue" TargetMode="External"/><Relationship Id="rId45" Type="http://schemas.openxmlformats.org/officeDocument/2006/relationships/hyperlink" Target="https://cdscomposites.com/help/advanced-models#notch" TargetMode="External"/><Relationship Id="rId46" Type="http://schemas.openxmlformats.org/officeDocument/2006/relationships/hyperlink" Target="https://cdscomposites.com/getting-started/exercises?exercise=advanced-notch" TargetMode="External"/><Relationship Id="rId47" Type="http://schemas.openxmlformats.org/officeDocument/2006/relationships/hyperlink" Target="https://cdscomposites.com/help/advanced-models#viscoelastic" TargetMode="External"/><Relationship Id="rId48" Type="http://schemas.openxmlformats.org/officeDocument/2006/relationships/hyperlink" Target="https://cdscomposites.com/getting-started/exercises?exercise=advanced-viscoelastic" TargetMode="External"/><Relationship Id="rId49" Type="http://schemas.openxmlformats.org/officeDocument/2006/relationships/hyperlink" Target="https://cdscomposites.com/help/advanced-models#larc04" TargetMode="External"/><Relationship Id="rId50" Type="http://schemas.openxmlformats.org/officeDocument/2006/relationships/hyperlink" Target="https://cdscomposites.com/getting-started/exercises?exercise=advanced-larc04" TargetMode="External"/><Relationship Id="rId51" Type="http://schemas.openxmlformats.org/officeDocument/2006/relationships/hyperlink" Target="https://cdscomposites.com/help/advanced-models#fatigue_residual" TargetMode="External"/><Relationship Id="rId52" Type="http://schemas.openxmlformats.org/officeDocument/2006/relationships/hyperlink" Target="https://cdscomposites.com/getting-started/exercises?exercise=advanced-fatigue_residual" TargetMode="External"/><Relationship Id="rId53" Type="http://schemas.openxmlformats.org/officeDocument/2006/relationships/hyperlink" Target="https://cdscomposites.com/help/advanced-models#uncertainty" TargetMode="External"/><Relationship Id="rId54" Type="http://schemas.openxmlformats.org/officeDocument/2006/relationships/hyperlink" Target="https://cdscomposites.com/getting-started/exercises?exercise=advanced-uncertainty" TargetMode="External"/><Relationship Id="rId55" Type="http://schemas.openxmlformats.org/officeDocument/2006/relationships/hyperlink" Target="https://cdscomposites.com/help/virtual-tests#astm_compression" TargetMode="External"/><Relationship Id="rId56" Type="http://schemas.openxmlformats.org/officeDocument/2006/relationships/hyperlink" Target="https://cdscomposites.com/getting-started/exercises?exercise=advanced-astm_compression" TargetMode="External"/><Relationship Id="rId57" Type="http://schemas.openxmlformats.org/officeDocument/2006/relationships/hyperlink" Target="https://cdscomposites.com/help/virtual-tests#astm_shear" TargetMode="External"/><Relationship Id="rId58" Type="http://schemas.openxmlformats.org/officeDocument/2006/relationships/hyperlink" Target="https://cdscomposites.com/getting-started/exercises?exercise=advanced-astm_shear" TargetMode="External"/><Relationship Id="rId59" Type="http://schemas.openxmlformats.org/officeDocument/2006/relationships/hyperlink" Target="https://cdscomposites.com/help/virtual-tests#astm_dcb" TargetMode="External"/><Relationship Id="rId60" Type="http://schemas.openxmlformats.org/officeDocument/2006/relationships/hyperlink" Target="https://cdscomposites.com/getting-started/exercises?exercise=advanced-astm_dcb" TargetMode="External"/><Relationship Id="rId61" Type="http://schemas.openxmlformats.org/officeDocument/2006/relationships/hyperlink" Target="https://cdscomposites.com/help/virtual-tests#astm_enf" TargetMode="External"/><Relationship Id="rId62" Type="http://schemas.openxmlformats.org/officeDocument/2006/relationships/hyperlink" Target="https://cdscomposites.com/getting-started/exercises?exercise=advanced-astm_enf" TargetMode="External"/><Relationship Id="rId63" Type="http://schemas.openxmlformats.org/officeDocument/2006/relationships/hyperlink" Target="https://cdscomposites.com/help/virtual-tests#astm_mmb" TargetMode="External"/><Relationship Id="rId64" Type="http://schemas.openxmlformats.org/officeDocument/2006/relationships/hyperlink" Target="https://cdscomposites.com/getting-started/exercises?exercise=advanced-astm_mmb" TargetMode="External"/><Relationship Id="rId65" Type="http://schemas.openxmlformats.org/officeDocument/2006/relationships/hyperlink" Target="https://cdscomposites.com/help/virtual-tests#astm_conditioning" TargetMode="External"/><Relationship Id="rId66" Type="http://schemas.openxmlformats.org/officeDocument/2006/relationships/hyperlink" Target="https://cdscomposites.com/getting-started/exercises?exercise=advanced-astm_conditioning" TargetMode="External"/><Relationship Id="rId67" Type="http://schemas.openxmlformats.org/officeDocument/2006/relationships/hyperlink" Target="https://cdscomposites.com/help/virtual-tests#astm_bearing" TargetMode="External"/><Relationship Id="rId68" Type="http://schemas.openxmlformats.org/officeDocument/2006/relationships/hyperlink" Target="https://cdscomposites.com/getting-started/exercises?exercise=advanced-astm_bearing" TargetMode="External"/><Relationship Id="rId69" Type="http://schemas.openxmlformats.org/officeDocument/2006/relationships/hyperlink" Target="https://cdscomposites.com/help/virtual-tests#astm_ohc" TargetMode="External"/><Relationship Id="rId70" Type="http://schemas.openxmlformats.org/officeDocument/2006/relationships/hyperlink" Target="https://cdscomposites.com/getting-started/exercises?exercise=advanced-astm_ohc" TargetMode="External"/><Relationship Id="rId71" Type="http://schemas.openxmlformats.org/officeDocument/2006/relationships/hyperlink" Target="https://cdscomposites.com/help/virtual-tests#astm_filled" TargetMode="External"/><Relationship Id="rId72" Type="http://schemas.openxmlformats.org/officeDocument/2006/relationships/hyperlink" Target="https://cdscomposites.com/getting-started/exercises?exercise=advanced-astm_filled" TargetMode="External"/><Relationship Id="rId73" Type="http://schemas.openxmlformats.org/officeDocument/2006/relationships/hyperlink" Target="https://cdscomposites.com/help/virtual-tests#astm_impact_cai" TargetMode="External"/><Relationship Id="rId74" Type="http://schemas.openxmlformats.org/officeDocument/2006/relationships/hyperlink" Target="https://cdscomposites.com/getting-started/exercises?exercise=advanced-astm_impact_cai" TargetMode="External"/><Relationship Id="rId75" Type="http://schemas.openxmlformats.org/officeDocument/2006/relationships/hyperlink" Target="https://cdscomposites.com/help/electromagnetics#em_wiener" TargetMode="External"/><Relationship Id="rId76" Type="http://schemas.openxmlformats.org/officeDocument/2006/relationships/hyperlink" Target="https://cdscomposites.com/getting-started/exercises?exercise=advanced-em_wiener" TargetMode="External"/><Relationship Id="rId77" Type="http://schemas.openxmlformats.org/officeDocument/2006/relationships/hyperlink" Target="https://cdscomposites.com/help/electromagnetics#em_looyenga" TargetMode="External"/><Relationship Id="rId78" Type="http://schemas.openxmlformats.org/officeDocument/2006/relationships/hyperlink" Target="https://cdscomposites.com/getting-started/exercises?exercise=advanced-em_looyenga" TargetMode="External"/><Relationship Id="rId79" Type="http://schemas.openxmlformats.org/officeDocument/2006/relationships/hyperlink" Target="https://cdscomposites.com/help/electromagnetics#em_maxwell-garnett" TargetMode="External"/><Relationship Id="rId80" Type="http://schemas.openxmlformats.org/officeDocument/2006/relationships/hyperlink" Target="https://cdscomposites.com/getting-started/exercises?exercise=advanced-em_maxwell-garnett" TargetMode="External"/><Relationship Id="rId81" Type="http://schemas.openxmlformats.org/officeDocument/2006/relationships/hyperlink" Target="https://cdscomposites.com/help/electromagnetics#em_tmm-normal" TargetMode="External"/><Relationship Id="rId82" Type="http://schemas.openxmlformats.org/officeDocument/2006/relationships/hyperlink" Target="https://cdscomposites.com/getting-started/exercises?exercise=advanced-em_tmm-normal" TargetMode="External"/><Relationship Id="rId83" Type="http://schemas.openxmlformats.org/officeDocument/2006/relationships/hyperlink" Target="https://cdscomposites.com/help/electromagnetics#em_bruggeman" TargetMode="External"/><Relationship Id="rId84" Type="http://schemas.openxmlformats.org/officeDocument/2006/relationships/hyperlink" Target="https://cdscomposites.com/getting-started/exercises?exercise=advanced-em_bruggeman" TargetMode="External"/><Relationship Id="rId85" Type="http://schemas.openxmlformats.org/officeDocument/2006/relationships/hyperlink" Target="https://cdscomposites.com/help/electromagnetics#em_mori-tanaka" TargetMode="External"/><Relationship Id="rId86" Type="http://schemas.openxmlformats.org/officeDocument/2006/relationships/hyperlink" Target="https://cdscomposites.com/getting-started/exercises?exercise=advanced-em_mori-tanaka" TargetMode="External"/><Relationship Id="rId87" Type="http://schemas.openxmlformats.org/officeDocument/2006/relationships/hyperlink" Target="https://cdscomposites.com/help/electromagnetics#em_self-consistent" TargetMode="External"/><Relationship Id="rId88" Type="http://schemas.openxmlformats.org/officeDocument/2006/relationships/hyperlink" Target="https://cdscomposites.com/getting-started/exercises?exercise=advanced-em_self-consistent" TargetMode="External"/><Relationship Id="rId89" Type="http://schemas.openxmlformats.org/officeDocument/2006/relationships/hyperlink" Target="https://cdscomposites.com/help/electromagnetics#em_dem" TargetMode="External"/><Relationship Id="rId90" Type="http://schemas.openxmlformats.org/officeDocument/2006/relationships/hyperlink" Target="https://cdscomposites.com/getting-started/exercises?exercise=advanced-em_dem" TargetMode="External"/><Relationship Id="rId91" Type="http://schemas.openxmlformats.org/officeDocument/2006/relationships/hyperlink" Target="https://cdscomposites.com/help/electromagnetics#em_coated" TargetMode="External"/><Relationship Id="rId92" Type="http://schemas.openxmlformats.org/officeDocument/2006/relationships/hyperlink" Target="https://cdscomposites.com/getting-started/exercises?exercise=advanced-em_coated" TargetMode="External"/><Relationship Id="rId93" Type="http://schemas.openxmlformats.org/officeDocument/2006/relationships/hyperlink" Target="https://cdscomposites.com/help/electromagnetics#em_multiphase" TargetMode="External"/><Relationship Id="rId94" Type="http://schemas.openxmlformats.org/officeDocument/2006/relationships/hyperlink" Target="https://cdscomposites.com/getting-started/exercises?exercise=advanced-em_multiphase" TargetMode="External"/><Relationship Id="rId95" Type="http://schemas.openxmlformats.org/officeDocument/2006/relationships/hyperlink" Target="https://cdscomposites.com/help/electromagnetics#em_tmm-oblique" TargetMode="External"/><Relationship Id="rId96" Type="http://schemas.openxmlformats.org/officeDocument/2006/relationships/hyperlink" Target="https://cdscomposites.com/getting-started/exercises?exercise=advanced-em_tmm-oblique" TargetMode="External"/><Relationship Id="rId97" Type="http://schemas.openxmlformats.org/officeDocument/2006/relationships/hyperlink" Target="https://cdscomposites.com/help/electromagnetics#em_tlm" TargetMode="External"/><Relationship Id="rId98" Type="http://schemas.openxmlformats.org/officeDocument/2006/relationships/hyperlink" Target="https://cdscomposites.com/getting-started/exercises?exercise=advanced-em_tlm" TargetMode="External"/><Relationship Id="rId99" Type="http://schemas.openxmlformats.org/officeDocument/2006/relationships/hyperlink" Target="https://cdscomposites.com/help/electromagnetics#em_bloch" TargetMode="External"/><Relationship Id="rId100" Type="http://schemas.openxmlformats.org/officeDocument/2006/relationships/hyperlink" Target="https://cdscomposites.com/getting-started/exercises?exercise=advanced-em_bloch" TargetMode="External"/><Relationship Id="rId101" Type="http://schemas.openxmlformats.org/officeDocument/2006/relationships/image" Target="media/image1.png"/><Relationship Id="rId102" Type="http://schemas.openxmlformats.org/officeDocument/2006/relationships/image" Target="media/image2.png"/><Relationship Id="rId103" Type="http://schemas.openxmlformats.org/officeDocument/2006/relationships/hyperlink" Target="https://cdscomposites.com/workflow/cloud" TargetMode="External"/><Relationship Id="rId104" Type="http://schemas.openxmlformats.org/officeDocument/2006/relationships/hyperlink" Target="https://cdscomposites.com/account/requests" TargetMode="External"/><Relationship Id="rId105" Type="http://schemas.openxmlformats.org/officeDocument/2006/relationships/hyperlink" Target="https://cdscomposites.com/getting-started/connected-workbench" TargetMode="External"/><Relationship Id="rId106" Type="http://schemas.openxmlformats.org/officeDocument/2006/relationships/hyperlink" Target="https://cdscomposites.com/help/electromagnetics" TargetMode="External"/><Relationship Id="rId107" Type="http://schemas.openxmlformats.org/officeDocument/2006/relationships/hyperlink" Target="https://cdscomposites.com/workflow/automate" TargetMode="External"/><Relationship Id="rId108" Type="http://schemas.openxmlformats.org/officeDocument/2006/relationships/hyperlink" Target="https://cdscomposites.com/images/workbench/carpet-live-laminate.jpg" TargetMode="External"/><Relationship Id="rId109" Type="http://schemas.openxmlformats.org/officeDocument/2006/relationships/image" Target="media/image3.png"/><Relationship Id="rId110" Type="http://schemas.openxmlformats.org/officeDocument/2006/relationships/image" Target="media/image4.png"/><Relationship Id="rId111" Type="http://schemas.openxmlformats.org/officeDocument/2006/relationships/hyperlink" Target="https://cdscomposites.com/workflow/models" TargetMode="External"/><Relationship Id="rId112" Type="http://schemas.openxmlformats.org/officeDocument/2006/relationships/hyperlink" Target="https://cdscomposites.com/capabilities/workspace" TargetMode="External"/><Relationship Id="rId113" Type="http://schemas.openxmlformats.org/officeDocument/2006/relationships/hyperlink" Target="https://cdscomposites.com/getting-started/workbench#interactive-blocks" TargetMode="External"/><Relationship Id="rId114" Type="http://schemas.openxmlformats.org/officeDocument/2006/relationships/hyperlink" Target="https://cdscomposites.com/workflow/materials" TargetMode="External"/><Relationship Id="rId115" Type="http://schemas.openxmlformats.org/officeDocument/2006/relationships/hyperlink" Target="https://cdscomposites.com/workflow/design" TargetMode="External"/><Relationship Id="rId116" Type="http://schemas.openxmlformats.org/officeDocument/2006/relationships/hyperlink" Target="https://cdscomposites.com/workflow/laminates" TargetMode="External"/><Relationship Id="rId117" Type="http://schemas.openxmlformats.org/officeDocument/2006/relationships/image" Target="media/image5.png"/><Relationship Id="rId118" Type="http://schemas.openxmlformats.org/officeDocument/2006/relationships/hyperlink" Target="https://cdscomposites.com/workflow/processing" TargetMode="External"/><Relationship Id="rId119" Type="http://schemas.openxmlformats.org/officeDocument/2006/relationships/hyperlink" Target="https://cdscomposites.com/workflow/micromechanics" TargetMode="External"/><Relationship Id="rId120" Type="http://schemas.openxmlformats.org/officeDocument/2006/relationships/image" Target="media/image6.png"/><Relationship Id="rId121" Type="http://schemas.openxmlformats.org/officeDocument/2006/relationships/image" Target="media/image7.png"/><Relationship Id="rId122" Type="http://schemas.openxmlformats.org/officeDocument/2006/relationships/image" Target="media/image8.png"/><Relationship Id="rId12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Models &amp; Workflow Manual</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